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
        <w:spacing w:before="4"/>
        <w:rPr>
          <w:rFonts w:hint="eastAsia" w:ascii="仿宋" w:hAnsi="仿宋" w:eastAsia="仿宋" w:cs="仿宋"/>
          <w:color w:val="auto"/>
          <w:sz w:val="28"/>
          <w:szCs w:val="28"/>
        </w:rPr>
      </w:pPr>
      <w:r>
        <w:rPr>
          <w:rFonts w:hint="eastAsia" w:ascii="仿宋" w:hAnsi="仿宋" w:eastAsia="仿宋" w:cs="仿宋"/>
          <w:color w:val="auto"/>
          <w:sz w:val="28"/>
          <w:szCs w:val="28"/>
        </w:rPr>
        <w:drawing>
          <wp:anchor distT="0" distB="0" distL="0" distR="0" simplePos="0" relativeHeight="247928832" behindDoc="1" locked="0" layoutInCell="1" allowOverlap="1">
            <wp:simplePos x="0" y="0"/>
            <wp:positionH relativeFrom="page">
              <wp:posOffset>-3810</wp:posOffset>
            </wp:positionH>
            <wp:positionV relativeFrom="page">
              <wp:posOffset>-4445</wp:posOffset>
            </wp:positionV>
            <wp:extent cx="7561580" cy="10687050"/>
            <wp:effectExtent l="0" t="0" r="1270" b="0"/>
            <wp:wrapNone/>
            <wp:docPr id="1" name="image1.jpeg" descr="C:\Users\Administrator\Desktop\清除方案封面.jpg清除方案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descr="C:\Users\Administrator\Desktop\清除方案封面.jpg清除方案封面"/>
                    <pic:cNvPicPr>
                      <a:picLocks noChangeAspect="1"/>
                    </pic:cNvPicPr>
                  </pic:nvPicPr>
                  <pic:blipFill>
                    <a:blip r:embed="rId14"/>
                    <a:srcRect/>
                    <a:stretch>
                      <a:fillRect/>
                    </a:stretch>
                  </pic:blipFill>
                  <pic:spPr>
                    <a:xfrm>
                      <a:off x="0" y="0"/>
                      <a:ext cx="7561580" cy="10687050"/>
                    </a:xfrm>
                    <a:prstGeom prst="rect">
                      <a:avLst/>
                    </a:prstGeom>
                  </pic:spPr>
                </pic:pic>
              </a:graphicData>
            </a:graphic>
          </wp:anchor>
        </w:drawing>
      </w:r>
    </w:p>
    <w:p>
      <w:pPr>
        <w:spacing w:after="0"/>
        <w:rPr>
          <w:rFonts w:hint="eastAsia" w:ascii="仿宋" w:hAnsi="仿宋" w:eastAsia="仿宋" w:cs="仿宋"/>
          <w:color w:val="auto"/>
          <w:sz w:val="28"/>
          <w:szCs w:val="28"/>
        </w:rPr>
        <w:sectPr>
          <w:footerReference r:id="rId4" w:type="first"/>
          <w:footerReference r:id="rId3" w:type="default"/>
          <w:type w:val="continuous"/>
          <w:pgSz w:w="11910" w:h="16840"/>
          <w:pgMar w:top="1600" w:right="1160" w:bottom="280" w:left="1580" w:header="720" w:footer="720" w:gutter="0"/>
          <w:pgBorders>
            <w:top w:val="none" w:sz="0" w:space="0"/>
            <w:left w:val="none" w:sz="0" w:space="0"/>
            <w:bottom w:val="none" w:sz="0" w:space="0"/>
            <w:right w:val="none" w:sz="0" w:space="0"/>
          </w:pgBorders>
          <w:pgNumType w:fmt="decimal"/>
        </w:sectPr>
      </w:pPr>
    </w:p>
    <w:sdt>
      <w:sdtPr>
        <w:rPr>
          <w:rFonts w:ascii="宋体" w:hAnsi="宋体" w:eastAsia="宋体" w:cs="宋体"/>
          <w:sz w:val="21"/>
          <w:szCs w:val="22"/>
          <w:lang w:val="zh-CN" w:eastAsia="zh-CN" w:bidi="zh-CN"/>
        </w:rPr>
        <w:id w:val="147481249"/>
        <w15:color w:val="DBDBDB"/>
        <w:docPartObj>
          <w:docPartGallery w:val="Table of Contents"/>
          <w:docPartUnique/>
        </w:docPartObj>
      </w:sdtPr>
      <w:sdtEndPr>
        <w:rPr>
          <w:rFonts w:ascii="宋体" w:hAnsi="宋体" w:eastAsia="宋体" w:cs="宋体"/>
          <w:sz w:val="21"/>
          <w:szCs w:val="22"/>
          <w:lang w:val="zh-CN" w:eastAsia="zh-CN" w:bidi="zh-CN"/>
        </w:rPr>
      </w:sdtEndPr>
      <w:sdtContent>
        <w:p>
          <w:pPr>
            <w:spacing w:before="0" w:beforeLines="0" w:after="0" w:afterLines="0" w:line="240" w:lineRule="auto"/>
            <w:ind w:left="0" w:leftChars="0" w:right="0" w:rightChars="0" w:firstLine="0" w:firstLineChars="0"/>
            <w:jc w:val="center"/>
            <w:rPr>
              <w:rFonts w:ascii="宋体" w:hAnsi="宋体" w:eastAsia="宋体" w:cs="宋体"/>
              <w:sz w:val="21"/>
              <w:szCs w:val="22"/>
              <w:lang w:val="zh-CN" w:eastAsia="zh-CN" w:bidi="zh-CN"/>
            </w:rPr>
          </w:pPr>
          <w:bookmarkStart w:id="0" w:name="_TOC_250032"/>
          <w:bookmarkEnd w:id="0"/>
          <w:bookmarkStart w:id="1" w:name="_Toc16619"/>
        </w:p>
        <w:p>
          <w:pPr>
            <w:spacing w:before="0" w:beforeLines="0" w:after="0" w:afterLines="0" w:line="240" w:lineRule="auto"/>
            <w:ind w:left="0" w:leftChars="0" w:right="0" w:rightChars="0" w:firstLine="0" w:firstLineChars="0"/>
            <w:jc w:val="center"/>
            <w:rPr>
              <w:rFonts w:ascii="宋体" w:hAnsi="宋体" w:eastAsia="宋体"/>
              <w:b/>
              <w:bCs/>
              <w:sz w:val="36"/>
              <w:szCs w:val="36"/>
            </w:rPr>
          </w:pPr>
          <w:r>
            <w:rPr>
              <w:rFonts w:ascii="宋体" w:hAnsi="宋体" w:eastAsia="宋体"/>
              <w:b/>
              <w:bCs/>
              <w:sz w:val="36"/>
              <w:szCs w:val="36"/>
            </w:rPr>
            <w:t>目</w:t>
          </w:r>
          <w:r>
            <w:rPr>
              <w:rFonts w:hint="eastAsia"/>
              <w:b/>
              <w:bCs/>
              <w:sz w:val="36"/>
              <w:szCs w:val="36"/>
              <w:lang w:val="en-US" w:eastAsia="zh-CN"/>
            </w:rPr>
            <w:t xml:space="preserve">   </w:t>
          </w:r>
          <w:r>
            <w:rPr>
              <w:rFonts w:ascii="宋体" w:hAnsi="宋体" w:eastAsia="宋体"/>
              <w:b/>
              <w:bCs/>
              <w:sz w:val="36"/>
              <w:szCs w:val="36"/>
            </w:rPr>
            <w:t>录</w:t>
          </w:r>
        </w:p>
        <w:p>
          <w:pPr>
            <w:tabs>
              <w:tab w:val="left" w:pos="6733"/>
            </w:tabs>
            <w:spacing w:before="0" w:beforeLines="0" w:after="0" w:afterLines="0" w:line="240" w:lineRule="auto"/>
            <w:ind w:left="0" w:leftChars="0" w:right="0" w:rightChars="0" w:firstLine="0" w:firstLineChars="0"/>
            <w:jc w:val="left"/>
            <w:rPr>
              <w:rFonts w:hint="eastAsia" w:ascii="宋体" w:hAnsi="宋体" w:eastAsia="宋体"/>
              <w:sz w:val="21"/>
              <w:lang w:eastAsia="zh-CN"/>
            </w:rPr>
          </w:pPr>
          <w:r>
            <w:rPr>
              <w:rFonts w:hint="eastAsia"/>
              <w:sz w:val="21"/>
              <w:lang w:eastAsia="zh-CN"/>
            </w:rPr>
            <w:tab/>
          </w:r>
        </w:p>
        <w:p>
          <w:pPr>
            <w:pStyle w:val="30"/>
            <w:tabs>
              <w:tab w:val="right" w:leader="dot" w:pos="9070"/>
            </w:tabs>
            <w:spacing w:line="360" w:lineRule="auto"/>
            <w:rPr>
              <w:rFonts w:hint="eastAsia" w:ascii="仿宋" w:hAnsi="仿宋" w:eastAsia="仿宋" w:cs="仿宋"/>
              <w:sz w:val="28"/>
              <w:szCs w:val="28"/>
            </w:rPr>
          </w:pPr>
          <w:r>
            <w:fldChar w:fldCharType="begin"/>
          </w:r>
          <w:r>
            <w:instrText xml:space="preserve">TOC \o "1-2" \h \u </w:instrText>
          </w:r>
          <w:r>
            <w:fldChar w:fldCharType="separate"/>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_Toc13790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1、</w:t>
          </w:r>
          <w:r>
            <w:rPr>
              <w:rFonts w:hint="eastAsia" w:ascii="仿宋" w:hAnsi="仿宋" w:eastAsia="仿宋" w:cs="仿宋"/>
              <w:b/>
              <w:bCs/>
              <w:sz w:val="28"/>
              <w:szCs w:val="28"/>
            </w:rPr>
            <w:t>总则</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_Toc13790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1</w:t>
          </w:r>
          <w:r>
            <w:rPr>
              <w:rFonts w:hint="eastAsia" w:ascii="仿宋" w:hAnsi="仿宋" w:eastAsia="仿宋" w:cs="仿宋"/>
              <w:b/>
              <w:bCs/>
              <w:sz w:val="28"/>
              <w:szCs w:val="28"/>
            </w:rPr>
            <w:fldChar w:fldCharType="end"/>
          </w:r>
          <w:r>
            <w:rPr>
              <w:rFonts w:hint="eastAsia" w:ascii="仿宋" w:hAnsi="仿宋" w:eastAsia="仿宋" w:cs="仿宋"/>
              <w:b/>
              <w:bCs/>
              <w:sz w:val="28"/>
              <w:szCs w:val="28"/>
            </w:rPr>
            <w:fldChar w:fldCharType="end"/>
          </w:r>
        </w:p>
        <w:p>
          <w:pPr>
            <w:pStyle w:val="30"/>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_Toc8228 </w:instrText>
          </w:r>
          <w:r>
            <w:rPr>
              <w:rFonts w:hint="eastAsia" w:ascii="仿宋" w:hAnsi="仿宋" w:eastAsia="仿宋" w:cs="仿宋"/>
              <w:sz w:val="28"/>
              <w:szCs w:val="28"/>
            </w:rPr>
            <w:fldChar w:fldCharType="separate"/>
          </w:r>
          <w:r>
            <w:rPr>
              <w:rFonts w:hint="eastAsia" w:ascii="仿宋" w:hAnsi="仿宋" w:eastAsia="仿宋" w:cs="仿宋"/>
              <w:bCs w:val="0"/>
              <w:sz w:val="28"/>
              <w:szCs w:val="28"/>
              <w:lang w:val="en-US" w:eastAsia="zh-CN"/>
            </w:rPr>
            <w:t xml:space="preserve">1.1 </w:t>
          </w:r>
          <w:r>
            <w:rPr>
              <w:rFonts w:hint="eastAsia" w:ascii="仿宋" w:hAnsi="仿宋" w:eastAsia="仿宋" w:cs="仿宋"/>
              <w:bCs w:val="0"/>
              <w:sz w:val="28"/>
              <w:szCs w:val="28"/>
            </w:rPr>
            <w:t>目的</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_Toc8228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30"/>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_Toc21569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 xml:space="preserve">1.2 </w:t>
          </w:r>
          <w:r>
            <w:rPr>
              <w:rFonts w:hint="eastAsia" w:ascii="仿宋" w:hAnsi="仿宋" w:eastAsia="仿宋" w:cs="仿宋"/>
              <w:bCs/>
              <w:sz w:val="28"/>
              <w:szCs w:val="28"/>
              <w:lang w:eastAsia="zh-CN"/>
            </w:rPr>
            <w:t>适用范围</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_Toc21569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30"/>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_Toc24010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1.3</w:t>
          </w:r>
          <w:r>
            <w:rPr>
              <w:rFonts w:hint="eastAsia" w:ascii="仿宋" w:hAnsi="仿宋" w:eastAsia="仿宋" w:cs="仿宋"/>
              <w:bCs/>
              <w:iCs/>
              <w:sz w:val="28"/>
              <w:szCs w:val="28"/>
            </w:rPr>
            <w:t>术语和定义</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_Toc24010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30"/>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_Toc4991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1.4 职责</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_Toc4991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30"/>
            <w:tabs>
              <w:tab w:val="right" w:leader="dot" w:pos="9070"/>
            </w:tabs>
            <w:spacing w:line="360" w:lineRule="auto"/>
            <w:rPr>
              <w:rFonts w:hint="eastAsia" w:ascii="仿宋" w:hAnsi="仿宋" w:eastAsia="仿宋" w:cs="仿宋"/>
              <w:b/>
              <w:bCs/>
              <w:sz w:val="28"/>
              <w:szCs w:val="28"/>
            </w:rPr>
          </w:pP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_Toc28579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2、</w:t>
          </w:r>
          <w:r>
            <w:rPr>
              <w:rFonts w:hint="eastAsia" w:ascii="仿宋" w:hAnsi="仿宋" w:eastAsia="仿宋" w:cs="仿宋"/>
              <w:b/>
              <w:bCs/>
              <w:sz w:val="28"/>
              <w:szCs w:val="28"/>
            </w:rPr>
            <w:t>溢油应急服务区域</w:t>
          </w:r>
          <w:r>
            <w:rPr>
              <w:rFonts w:hint="eastAsia" w:ascii="仿宋" w:hAnsi="仿宋" w:eastAsia="仿宋" w:cs="仿宋"/>
              <w:b/>
              <w:bCs/>
              <w:sz w:val="28"/>
              <w:szCs w:val="28"/>
              <w:lang w:eastAsia="zh-CN"/>
            </w:rPr>
            <w:t>概况</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_Toc28579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2</w:t>
          </w:r>
          <w:r>
            <w:rPr>
              <w:rFonts w:hint="eastAsia" w:ascii="仿宋" w:hAnsi="仿宋" w:eastAsia="仿宋" w:cs="仿宋"/>
              <w:b/>
              <w:bCs/>
              <w:sz w:val="28"/>
              <w:szCs w:val="28"/>
            </w:rPr>
            <w:fldChar w:fldCharType="end"/>
          </w:r>
          <w:r>
            <w:rPr>
              <w:rFonts w:hint="eastAsia" w:ascii="仿宋" w:hAnsi="仿宋" w:eastAsia="仿宋" w:cs="仿宋"/>
              <w:b/>
              <w:bCs/>
              <w:sz w:val="28"/>
              <w:szCs w:val="28"/>
            </w:rPr>
            <w:fldChar w:fldCharType="end"/>
          </w:r>
        </w:p>
        <w:p>
          <w:pPr>
            <w:pStyle w:val="30"/>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_Toc18145 </w:instrText>
          </w:r>
          <w:r>
            <w:rPr>
              <w:rFonts w:hint="eastAsia" w:ascii="仿宋" w:hAnsi="仿宋" w:eastAsia="仿宋" w:cs="仿宋"/>
              <w:sz w:val="28"/>
              <w:szCs w:val="28"/>
            </w:rPr>
            <w:fldChar w:fldCharType="separate"/>
          </w:r>
          <w:r>
            <w:rPr>
              <w:rFonts w:hint="eastAsia" w:ascii="仿宋" w:hAnsi="仿宋" w:eastAsia="仿宋" w:cs="仿宋"/>
              <w:sz w:val="28"/>
              <w:szCs w:val="28"/>
              <w:lang w:val="en-US" w:eastAsia="zh-CN"/>
            </w:rPr>
            <w:t xml:space="preserve">2.1 </w:t>
          </w:r>
          <w:r>
            <w:rPr>
              <w:rFonts w:hint="eastAsia" w:ascii="仿宋" w:hAnsi="仿宋" w:eastAsia="仿宋" w:cs="仿宋"/>
              <w:sz w:val="28"/>
              <w:szCs w:val="28"/>
            </w:rPr>
            <w:t>地理位置</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_Toc18145 </w:instrText>
          </w:r>
          <w:r>
            <w:rPr>
              <w:rFonts w:hint="eastAsia" w:ascii="仿宋" w:hAnsi="仿宋" w:eastAsia="仿宋" w:cs="仿宋"/>
              <w:sz w:val="28"/>
              <w:szCs w:val="28"/>
            </w:rPr>
            <w:fldChar w:fldCharType="separate"/>
          </w:r>
          <w:r>
            <w:rPr>
              <w:rFonts w:hint="eastAsia" w:ascii="仿宋" w:hAnsi="仿宋" w:eastAsia="仿宋" w:cs="仿宋"/>
              <w:sz w:val="28"/>
              <w:szCs w:val="28"/>
            </w:rPr>
            <w:t>2</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30"/>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_Toc5080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2.2 港区分布及概况</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_Toc5080 </w:instrText>
          </w:r>
          <w:r>
            <w:rPr>
              <w:rFonts w:hint="eastAsia" w:ascii="仿宋" w:hAnsi="仿宋" w:eastAsia="仿宋" w:cs="仿宋"/>
              <w:sz w:val="28"/>
              <w:szCs w:val="28"/>
            </w:rPr>
            <w:fldChar w:fldCharType="separate"/>
          </w:r>
          <w:r>
            <w:rPr>
              <w:rFonts w:hint="eastAsia" w:ascii="仿宋" w:hAnsi="仿宋" w:eastAsia="仿宋" w:cs="仿宋"/>
              <w:sz w:val="28"/>
              <w:szCs w:val="28"/>
            </w:rPr>
            <w:t>2</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30"/>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_Toc13259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2.3 水文气象</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_Toc13259 </w:instrText>
          </w:r>
          <w:r>
            <w:rPr>
              <w:rFonts w:hint="eastAsia" w:ascii="仿宋" w:hAnsi="仿宋" w:eastAsia="仿宋" w:cs="仿宋"/>
              <w:sz w:val="28"/>
              <w:szCs w:val="28"/>
            </w:rPr>
            <w:fldChar w:fldCharType="separate"/>
          </w:r>
          <w:r>
            <w:rPr>
              <w:rFonts w:hint="eastAsia" w:ascii="仿宋" w:hAnsi="仿宋" w:eastAsia="仿宋" w:cs="仿宋"/>
              <w:sz w:val="28"/>
              <w:szCs w:val="28"/>
            </w:rPr>
            <w:t>3</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30"/>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_Toc670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2.4 港口航道</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_Toc670 </w:instrText>
          </w:r>
          <w:r>
            <w:rPr>
              <w:rFonts w:hint="eastAsia" w:ascii="仿宋" w:hAnsi="仿宋" w:eastAsia="仿宋" w:cs="仿宋"/>
              <w:sz w:val="28"/>
              <w:szCs w:val="28"/>
            </w:rPr>
            <w:fldChar w:fldCharType="separate"/>
          </w:r>
          <w:r>
            <w:rPr>
              <w:rFonts w:hint="eastAsia" w:ascii="仿宋" w:hAnsi="仿宋" w:eastAsia="仿宋" w:cs="仿宋"/>
              <w:sz w:val="28"/>
              <w:szCs w:val="28"/>
            </w:rPr>
            <w:t>6</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_Toc148 </w:instrText>
          </w:r>
          <w:r>
            <w:rPr>
              <w:rFonts w:hint="eastAsia" w:ascii="仿宋" w:hAnsi="仿宋" w:eastAsia="仿宋" w:cs="仿宋"/>
              <w:sz w:val="28"/>
              <w:szCs w:val="28"/>
            </w:rPr>
            <w:fldChar w:fldCharType="separate"/>
          </w:r>
          <w:r>
            <w:rPr>
              <w:rFonts w:hint="eastAsia" w:ascii="仿宋" w:hAnsi="仿宋" w:eastAsia="仿宋" w:cs="仿宋"/>
              <w:bCs/>
              <w:i w:val="0"/>
              <w:caps w:val="0"/>
              <w:spacing w:val="0"/>
              <w:kern w:val="0"/>
              <w:sz w:val="28"/>
              <w:szCs w:val="28"/>
              <w:lang w:val="en-US" w:eastAsia="zh-CN" w:bidi="ar"/>
            </w:rPr>
            <w:t>2.5 港口锚地</w:t>
          </w:r>
          <w:r>
            <w:rPr>
              <w:rFonts w:hint="eastAsia" w:ascii="仿宋" w:hAnsi="仿宋" w:eastAsia="仿宋" w:cs="仿宋"/>
              <w:sz w:val="28"/>
              <w:szCs w:val="28"/>
            </w:rPr>
            <w:tab/>
          </w:r>
          <w:r>
            <w:rPr>
              <w:rFonts w:hint="eastAsia" w:ascii="仿宋" w:hAnsi="仿宋" w:eastAsia="仿宋" w:cs="仿宋"/>
              <w:sz w:val="28"/>
              <w:szCs w:val="28"/>
              <w:lang w:val="en-US" w:eastAsia="zh-CN"/>
            </w:rPr>
            <w:t>1</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0</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_Toc9235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 xml:space="preserve">2.6 </w:t>
          </w:r>
          <w:r>
            <w:rPr>
              <w:rFonts w:hint="eastAsia" w:ascii="仿宋" w:hAnsi="仿宋" w:eastAsia="仿宋" w:cs="仿宋"/>
              <w:bCs/>
              <w:sz w:val="28"/>
              <w:szCs w:val="28"/>
            </w:rPr>
            <w:t>台州海域环境敏感资源情况</w:t>
          </w:r>
          <w:r>
            <w:rPr>
              <w:rFonts w:hint="eastAsia" w:ascii="仿宋" w:hAnsi="仿宋" w:eastAsia="仿宋" w:cs="仿宋"/>
              <w:sz w:val="28"/>
              <w:szCs w:val="28"/>
            </w:rPr>
            <w:tab/>
          </w:r>
          <w:r>
            <w:rPr>
              <w:rFonts w:hint="eastAsia" w:ascii="仿宋" w:hAnsi="仿宋" w:eastAsia="仿宋" w:cs="仿宋"/>
              <w:sz w:val="28"/>
              <w:szCs w:val="28"/>
              <w:lang w:val="en-US" w:eastAsia="zh-CN"/>
            </w:rPr>
            <w:t>1</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2</w:t>
          </w:r>
        </w:p>
        <w:p>
          <w:pPr>
            <w:pStyle w:val="30"/>
            <w:tabs>
              <w:tab w:val="right" w:leader="dot" w:pos="9070"/>
            </w:tabs>
            <w:spacing w:line="360" w:lineRule="auto"/>
            <w:rPr>
              <w:rFonts w:hint="eastAsia" w:ascii="仿宋" w:hAnsi="仿宋" w:eastAsia="仿宋" w:cs="仿宋"/>
              <w:b/>
              <w:sz w:val="28"/>
              <w:szCs w:val="28"/>
              <w:lang w:val="en-US" w:eastAsia="zh-CN"/>
            </w:rPr>
          </w:pPr>
          <w:r>
            <w:rPr>
              <w:rFonts w:hint="eastAsia" w:ascii="仿宋" w:hAnsi="仿宋" w:eastAsia="仿宋" w:cs="仿宋"/>
              <w:b/>
              <w:sz w:val="28"/>
              <w:szCs w:val="28"/>
            </w:rPr>
            <w:fldChar w:fldCharType="begin"/>
          </w:r>
          <w:r>
            <w:rPr>
              <w:rFonts w:hint="eastAsia" w:ascii="仿宋" w:hAnsi="仿宋" w:eastAsia="仿宋" w:cs="仿宋"/>
              <w:b/>
              <w:sz w:val="28"/>
              <w:szCs w:val="28"/>
            </w:rPr>
            <w:instrText xml:space="preserve"> HYPERLINK \l _Toc2912 </w:instrText>
          </w:r>
          <w:r>
            <w:rPr>
              <w:rFonts w:hint="eastAsia" w:ascii="仿宋" w:hAnsi="仿宋" w:eastAsia="仿宋" w:cs="仿宋"/>
              <w:b/>
              <w:sz w:val="28"/>
              <w:szCs w:val="28"/>
            </w:rPr>
            <w:fldChar w:fldCharType="separate"/>
          </w:r>
          <w:r>
            <w:rPr>
              <w:rFonts w:hint="eastAsia" w:ascii="仿宋" w:hAnsi="仿宋" w:eastAsia="仿宋" w:cs="仿宋"/>
              <w:b/>
              <w:bCs/>
              <w:sz w:val="28"/>
              <w:szCs w:val="28"/>
              <w:lang w:val="en-US" w:eastAsia="zh-CN"/>
            </w:rPr>
            <w:t>3、</w:t>
          </w:r>
          <w:r>
            <w:rPr>
              <w:rFonts w:hint="eastAsia" w:ascii="仿宋" w:hAnsi="仿宋" w:eastAsia="仿宋" w:cs="仿宋"/>
              <w:b/>
              <w:bCs/>
              <w:sz w:val="28"/>
              <w:szCs w:val="28"/>
            </w:rPr>
            <w:t>总体应急策略</w:t>
          </w:r>
          <w:r>
            <w:rPr>
              <w:rFonts w:hint="eastAsia" w:ascii="仿宋" w:hAnsi="仿宋" w:eastAsia="仿宋" w:cs="仿宋"/>
              <w:b/>
              <w:sz w:val="28"/>
              <w:szCs w:val="28"/>
            </w:rPr>
            <w:tab/>
          </w:r>
          <w:r>
            <w:rPr>
              <w:rFonts w:hint="eastAsia" w:ascii="仿宋" w:hAnsi="仿宋" w:eastAsia="仿宋" w:cs="仿宋"/>
              <w:b/>
              <w:sz w:val="28"/>
              <w:szCs w:val="28"/>
              <w:lang w:val="en-US" w:eastAsia="zh-CN"/>
            </w:rPr>
            <w:t>1</w:t>
          </w:r>
          <w:r>
            <w:rPr>
              <w:rFonts w:hint="eastAsia" w:ascii="仿宋" w:hAnsi="仿宋" w:eastAsia="仿宋" w:cs="仿宋"/>
              <w:b/>
              <w:sz w:val="28"/>
              <w:szCs w:val="28"/>
            </w:rPr>
            <w:fldChar w:fldCharType="end"/>
          </w:r>
          <w:r>
            <w:rPr>
              <w:rFonts w:hint="eastAsia" w:ascii="仿宋" w:hAnsi="仿宋" w:eastAsia="仿宋" w:cs="仿宋"/>
              <w:b/>
              <w:sz w:val="28"/>
              <w:szCs w:val="28"/>
              <w:lang w:val="en-US" w:eastAsia="zh-CN"/>
            </w:rPr>
            <w:t>4</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_Toc8778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3.</w:t>
          </w:r>
          <w:r>
            <w:rPr>
              <w:rFonts w:hint="eastAsia" w:ascii="仿宋" w:hAnsi="仿宋" w:eastAsia="仿宋" w:cs="仿宋"/>
              <w:bCs/>
              <w:iCs/>
              <w:sz w:val="28"/>
              <w:szCs w:val="28"/>
            </w:rPr>
            <w:t>1策略描述</w:t>
          </w:r>
          <w:r>
            <w:rPr>
              <w:rFonts w:hint="eastAsia" w:ascii="仿宋" w:hAnsi="仿宋" w:eastAsia="仿宋" w:cs="仿宋"/>
              <w:sz w:val="28"/>
              <w:szCs w:val="28"/>
            </w:rPr>
            <w:tab/>
          </w:r>
          <w:r>
            <w:rPr>
              <w:rFonts w:hint="eastAsia" w:ascii="仿宋" w:hAnsi="仿宋" w:eastAsia="仿宋" w:cs="仿宋"/>
              <w:sz w:val="28"/>
              <w:szCs w:val="28"/>
              <w:lang w:val="en-US" w:eastAsia="zh-CN"/>
            </w:rPr>
            <w:t>1</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4</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_Toc28812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3</w:t>
          </w:r>
          <w:r>
            <w:rPr>
              <w:rFonts w:hint="eastAsia" w:ascii="仿宋" w:hAnsi="仿宋" w:eastAsia="仿宋" w:cs="仿宋"/>
              <w:bCs/>
              <w:iCs/>
              <w:sz w:val="28"/>
              <w:szCs w:val="28"/>
            </w:rPr>
            <w:t>.2</w:t>
          </w:r>
          <w:r>
            <w:rPr>
              <w:rFonts w:hint="eastAsia" w:ascii="仿宋" w:hAnsi="仿宋" w:eastAsia="仿宋" w:cs="仿宋"/>
              <w:bCs/>
              <w:iCs/>
              <w:sz w:val="28"/>
              <w:szCs w:val="28"/>
              <w:lang w:val="en-US" w:eastAsia="zh-CN"/>
            </w:rPr>
            <w:t xml:space="preserve"> </w:t>
          </w:r>
          <w:r>
            <w:rPr>
              <w:rFonts w:hint="eastAsia" w:ascii="仿宋" w:hAnsi="仿宋" w:eastAsia="仿宋" w:cs="仿宋"/>
              <w:bCs/>
              <w:iCs/>
              <w:sz w:val="28"/>
              <w:szCs w:val="28"/>
            </w:rPr>
            <w:t>应急反应程序策略</w:t>
          </w:r>
          <w:r>
            <w:rPr>
              <w:rFonts w:hint="eastAsia" w:ascii="仿宋" w:hAnsi="仿宋" w:eastAsia="仿宋" w:cs="仿宋"/>
              <w:sz w:val="28"/>
              <w:szCs w:val="28"/>
            </w:rPr>
            <w:tab/>
          </w:r>
          <w:r>
            <w:rPr>
              <w:rFonts w:hint="eastAsia" w:ascii="仿宋" w:hAnsi="仿宋" w:eastAsia="仿宋" w:cs="仿宋"/>
              <w:sz w:val="28"/>
              <w:szCs w:val="28"/>
              <w:lang w:val="en-US" w:eastAsia="zh-CN"/>
            </w:rPr>
            <w:t>1</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5</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_Toc8308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3</w:t>
          </w:r>
          <w:r>
            <w:rPr>
              <w:rFonts w:hint="eastAsia" w:ascii="仿宋" w:hAnsi="仿宋" w:eastAsia="仿宋" w:cs="仿宋"/>
              <w:bCs/>
              <w:iCs/>
              <w:sz w:val="28"/>
              <w:szCs w:val="28"/>
            </w:rPr>
            <w:t>.3</w:t>
          </w:r>
          <w:r>
            <w:rPr>
              <w:rFonts w:hint="eastAsia" w:ascii="仿宋" w:hAnsi="仿宋" w:eastAsia="仿宋" w:cs="仿宋"/>
              <w:bCs/>
              <w:iCs/>
              <w:sz w:val="28"/>
              <w:szCs w:val="28"/>
              <w:lang w:val="en-US" w:eastAsia="zh-CN"/>
            </w:rPr>
            <w:t xml:space="preserve"> </w:t>
          </w:r>
          <w:r>
            <w:rPr>
              <w:rFonts w:hint="eastAsia" w:ascii="仿宋" w:hAnsi="仿宋" w:eastAsia="仿宋" w:cs="仿宋"/>
              <w:bCs/>
              <w:iCs/>
              <w:sz w:val="28"/>
              <w:szCs w:val="28"/>
            </w:rPr>
            <w:t>清污方案选择策略</w:t>
          </w:r>
          <w:r>
            <w:rPr>
              <w:rFonts w:hint="eastAsia" w:ascii="仿宋" w:hAnsi="仿宋" w:eastAsia="仿宋" w:cs="仿宋"/>
              <w:sz w:val="28"/>
              <w:szCs w:val="28"/>
            </w:rPr>
            <w:tab/>
          </w:r>
          <w:r>
            <w:rPr>
              <w:rFonts w:hint="eastAsia" w:ascii="仿宋" w:hAnsi="仿宋" w:eastAsia="仿宋" w:cs="仿宋"/>
              <w:sz w:val="28"/>
              <w:szCs w:val="28"/>
              <w:lang w:val="en-US" w:eastAsia="zh-CN"/>
            </w:rPr>
            <w:t>1</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6</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_Toc1446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3</w:t>
          </w:r>
          <w:r>
            <w:rPr>
              <w:rFonts w:hint="eastAsia" w:ascii="仿宋" w:hAnsi="仿宋" w:eastAsia="仿宋" w:cs="仿宋"/>
              <w:bCs/>
              <w:iCs/>
              <w:sz w:val="28"/>
              <w:szCs w:val="28"/>
            </w:rPr>
            <w:t>.</w:t>
          </w:r>
          <w:r>
            <w:rPr>
              <w:rFonts w:hint="eastAsia" w:ascii="仿宋" w:hAnsi="仿宋" w:eastAsia="仿宋" w:cs="仿宋"/>
              <w:bCs/>
              <w:iCs/>
              <w:sz w:val="28"/>
              <w:szCs w:val="28"/>
              <w:lang w:val="en-US" w:eastAsia="zh-CN"/>
            </w:rPr>
            <w:t xml:space="preserve">4 </w:t>
          </w:r>
          <w:r>
            <w:rPr>
              <w:rFonts w:hint="eastAsia" w:ascii="仿宋" w:hAnsi="仿宋" w:eastAsia="仿宋" w:cs="仿宋"/>
              <w:bCs/>
              <w:iCs/>
              <w:sz w:val="28"/>
              <w:szCs w:val="28"/>
            </w:rPr>
            <w:t>典型场景清污策略</w:t>
          </w:r>
          <w:r>
            <w:rPr>
              <w:rFonts w:hint="eastAsia" w:ascii="仿宋" w:hAnsi="仿宋" w:eastAsia="仿宋" w:cs="仿宋"/>
              <w:sz w:val="28"/>
              <w:szCs w:val="28"/>
            </w:rPr>
            <w:tab/>
          </w:r>
          <w:r>
            <w:rPr>
              <w:rFonts w:hint="eastAsia" w:ascii="仿宋" w:hAnsi="仿宋" w:eastAsia="仿宋" w:cs="仿宋"/>
              <w:sz w:val="28"/>
              <w:szCs w:val="28"/>
              <w:lang w:val="en-US" w:eastAsia="zh-CN"/>
            </w:rPr>
            <w:t>1</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6</w:t>
          </w:r>
        </w:p>
        <w:p>
          <w:pPr>
            <w:pStyle w:val="30"/>
            <w:tabs>
              <w:tab w:val="right" w:leader="dot" w:pos="9070"/>
            </w:tabs>
            <w:spacing w:line="360" w:lineRule="auto"/>
            <w:rPr>
              <w:rFonts w:hint="eastAsia" w:ascii="仿宋" w:hAnsi="仿宋" w:eastAsia="仿宋" w:cs="仿宋"/>
              <w:b/>
              <w:sz w:val="28"/>
              <w:szCs w:val="28"/>
              <w:lang w:val="en-US" w:eastAsia="zh-CN"/>
            </w:rPr>
          </w:pPr>
          <w:r>
            <w:rPr>
              <w:rFonts w:hint="eastAsia" w:ascii="仿宋" w:hAnsi="仿宋" w:eastAsia="仿宋" w:cs="仿宋"/>
              <w:b/>
              <w:sz w:val="28"/>
              <w:szCs w:val="28"/>
            </w:rPr>
            <w:fldChar w:fldCharType="begin"/>
          </w:r>
          <w:r>
            <w:rPr>
              <w:rFonts w:hint="eastAsia" w:ascii="仿宋" w:hAnsi="仿宋" w:eastAsia="仿宋" w:cs="仿宋"/>
              <w:b/>
              <w:sz w:val="28"/>
              <w:szCs w:val="28"/>
            </w:rPr>
            <w:instrText xml:space="preserve"> HYPERLINK \l _Toc26753 </w:instrText>
          </w:r>
          <w:r>
            <w:rPr>
              <w:rFonts w:hint="eastAsia" w:ascii="仿宋" w:hAnsi="仿宋" w:eastAsia="仿宋" w:cs="仿宋"/>
              <w:b/>
              <w:sz w:val="28"/>
              <w:szCs w:val="28"/>
            </w:rPr>
            <w:fldChar w:fldCharType="separate"/>
          </w:r>
          <w:r>
            <w:rPr>
              <w:rFonts w:hint="eastAsia" w:ascii="仿宋" w:hAnsi="仿宋" w:eastAsia="仿宋" w:cs="仿宋"/>
              <w:b/>
              <w:bCs/>
              <w:sz w:val="28"/>
              <w:szCs w:val="28"/>
              <w:lang w:val="en-US" w:eastAsia="zh-CN"/>
            </w:rPr>
            <w:t>4、</w:t>
          </w:r>
          <w:r>
            <w:rPr>
              <w:rFonts w:hint="eastAsia" w:ascii="仿宋" w:hAnsi="仿宋" w:eastAsia="仿宋" w:cs="仿宋"/>
              <w:b/>
              <w:bCs/>
              <w:sz w:val="28"/>
              <w:szCs w:val="28"/>
            </w:rPr>
            <w:t>应急堵漏、卸载等污染控制方案</w:t>
          </w:r>
          <w:r>
            <w:rPr>
              <w:rFonts w:hint="eastAsia" w:ascii="仿宋" w:hAnsi="仿宋" w:eastAsia="仿宋" w:cs="仿宋"/>
              <w:b/>
              <w:sz w:val="28"/>
              <w:szCs w:val="28"/>
            </w:rPr>
            <w:tab/>
          </w:r>
          <w:r>
            <w:rPr>
              <w:rFonts w:hint="eastAsia" w:ascii="仿宋" w:hAnsi="仿宋" w:eastAsia="仿宋" w:cs="仿宋"/>
              <w:b/>
              <w:sz w:val="28"/>
              <w:szCs w:val="28"/>
              <w:lang w:val="en-US" w:eastAsia="zh-CN"/>
            </w:rPr>
            <w:t>2</w:t>
          </w:r>
          <w:r>
            <w:rPr>
              <w:rFonts w:hint="eastAsia" w:ascii="仿宋" w:hAnsi="仿宋" w:eastAsia="仿宋" w:cs="仿宋"/>
              <w:b/>
              <w:sz w:val="28"/>
              <w:szCs w:val="28"/>
            </w:rPr>
            <w:fldChar w:fldCharType="end"/>
          </w:r>
          <w:r>
            <w:rPr>
              <w:rFonts w:hint="eastAsia" w:ascii="仿宋" w:hAnsi="仿宋" w:eastAsia="仿宋" w:cs="仿宋"/>
              <w:b/>
              <w:sz w:val="28"/>
              <w:szCs w:val="28"/>
              <w:lang w:val="en-US" w:eastAsia="zh-CN"/>
            </w:rPr>
            <w:t>7</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_Toc29967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 xml:space="preserve">4.1 </w:t>
          </w:r>
          <w:r>
            <w:rPr>
              <w:rFonts w:hint="eastAsia" w:ascii="仿宋" w:hAnsi="仿宋" w:eastAsia="仿宋" w:cs="仿宋"/>
              <w:bCs/>
              <w:iCs/>
              <w:sz w:val="28"/>
              <w:szCs w:val="28"/>
            </w:rPr>
            <w:t>应急堵漏方案</w:t>
          </w:r>
          <w:r>
            <w:rPr>
              <w:rFonts w:hint="eastAsia" w:ascii="仿宋" w:hAnsi="仿宋" w:eastAsia="仿宋" w:cs="仿宋"/>
              <w:sz w:val="28"/>
              <w:szCs w:val="28"/>
            </w:rPr>
            <w:tab/>
          </w:r>
          <w:r>
            <w:rPr>
              <w:rFonts w:hint="eastAsia" w:ascii="仿宋" w:hAnsi="仿宋" w:eastAsia="仿宋" w:cs="仿宋"/>
              <w:sz w:val="28"/>
              <w:szCs w:val="28"/>
              <w:lang w:val="en-US" w:eastAsia="zh-CN"/>
            </w:rPr>
            <w:t>2</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7</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_Toc10936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4</w:t>
          </w:r>
          <w:r>
            <w:rPr>
              <w:rFonts w:hint="eastAsia" w:ascii="仿宋" w:hAnsi="仿宋" w:eastAsia="仿宋" w:cs="仿宋"/>
              <w:bCs/>
              <w:iCs/>
              <w:sz w:val="28"/>
              <w:szCs w:val="28"/>
            </w:rPr>
            <w:t>.2</w:t>
          </w:r>
          <w:r>
            <w:rPr>
              <w:rFonts w:hint="eastAsia" w:ascii="仿宋" w:hAnsi="仿宋" w:eastAsia="仿宋" w:cs="仿宋"/>
              <w:bCs/>
              <w:iCs/>
              <w:sz w:val="28"/>
              <w:szCs w:val="28"/>
              <w:lang w:val="en-US" w:eastAsia="zh-CN"/>
            </w:rPr>
            <w:t xml:space="preserve"> </w:t>
          </w:r>
          <w:r>
            <w:rPr>
              <w:rFonts w:hint="eastAsia" w:ascii="仿宋" w:hAnsi="仿宋" w:eastAsia="仿宋" w:cs="仿宋"/>
              <w:bCs/>
              <w:iCs/>
              <w:sz w:val="28"/>
              <w:szCs w:val="28"/>
            </w:rPr>
            <w:t>应急卸载方案</w:t>
          </w:r>
          <w:r>
            <w:rPr>
              <w:rFonts w:hint="eastAsia" w:ascii="仿宋" w:hAnsi="仿宋" w:eastAsia="仿宋" w:cs="仿宋"/>
              <w:sz w:val="28"/>
              <w:szCs w:val="28"/>
            </w:rPr>
            <w:tab/>
          </w:r>
          <w:r>
            <w:rPr>
              <w:rFonts w:hint="eastAsia" w:ascii="仿宋" w:hAnsi="仿宋" w:eastAsia="仿宋" w:cs="仿宋"/>
              <w:sz w:val="28"/>
              <w:szCs w:val="28"/>
              <w:lang w:val="en-US" w:eastAsia="zh-CN"/>
            </w:rPr>
            <w:t>2</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8</w:t>
          </w:r>
        </w:p>
        <w:p>
          <w:pPr>
            <w:pStyle w:val="30"/>
            <w:tabs>
              <w:tab w:val="right" w:leader="dot" w:pos="9070"/>
            </w:tabs>
            <w:spacing w:line="360" w:lineRule="auto"/>
            <w:rPr>
              <w:rFonts w:hint="eastAsia" w:ascii="仿宋" w:hAnsi="仿宋" w:eastAsia="仿宋" w:cs="仿宋"/>
              <w:b/>
              <w:bCs/>
              <w:sz w:val="28"/>
              <w:szCs w:val="28"/>
              <w:lang w:val="en-US" w:eastAsia="zh-CN"/>
            </w:rPr>
          </w:pP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_Toc18354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5、</w:t>
          </w:r>
          <w:r>
            <w:rPr>
              <w:rFonts w:hint="eastAsia" w:ascii="仿宋" w:hAnsi="仿宋" w:eastAsia="仿宋" w:cs="仿宋"/>
              <w:b/>
              <w:bCs/>
              <w:sz w:val="28"/>
              <w:szCs w:val="28"/>
            </w:rPr>
            <w:t>主要敏感资源的围护和清除方案</w:t>
          </w:r>
          <w:r>
            <w:rPr>
              <w:rFonts w:hint="eastAsia" w:ascii="仿宋" w:hAnsi="仿宋" w:eastAsia="仿宋" w:cs="仿宋"/>
              <w:b/>
              <w:bCs/>
              <w:sz w:val="28"/>
              <w:szCs w:val="28"/>
            </w:rPr>
            <w:tab/>
          </w:r>
          <w:r>
            <w:rPr>
              <w:rFonts w:hint="eastAsia" w:ascii="仿宋" w:hAnsi="仿宋" w:eastAsia="仿宋" w:cs="仿宋"/>
              <w:b/>
              <w:bCs/>
              <w:sz w:val="28"/>
              <w:szCs w:val="28"/>
              <w:lang w:val="en-US" w:eastAsia="zh-CN"/>
            </w:rPr>
            <w:t>3</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t>0</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_Toc1810 </w:instrText>
          </w:r>
          <w:r>
            <w:rPr>
              <w:rFonts w:hint="eastAsia" w:ascii="仿宋" w:hAnsi="仿宋" w:eastAsia="仿宋" w:cs="仿宋"/>
              <w:sz w:val="28"/>
              <w:szCs w:val="28"/>
            </w:rPr>
            <w:fldChar w:fldCharType="separate"/>
          </w:r>
          <w:r>
            <w:rPr>
              <w:rFonts w:hint="eastAsia" w:ascii="仿宋" w:hAnsi="仿宋" w:eastAsia="仿宋" w:cs="仿宋"/>
              <w:sz w:val="28"/>
              <w:szCs w:val="28"/>
              <w:lang w:val="en-US" w:eastAsia="zh-CN"/>
            </w:rPr>
            <w:t>5</w:t>
          </w:r>
          <w:r>
            <w:rPr>
              <w:rFonts w:hint="eastAsia" w:ascii="仿宋" w:hAnsi="仿宋" w:eastAsia="仿宋" w:cs="仿宋"/>
              <w:sz w:val="28"/>
              <w:szCs w:val="28"/>
            </w:rPr>
            <w:t>.1</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主要敏感资源围护方案</w:t>
          </w:r>
          <w:r>
            <w:rPr>
              <w:rFonts w:hint="eastAsia" w:ascii="仿宋" w:hAnsi="仿宋" w:eastAsia="仿宋" w:cs="仿宋"/>
              <w:sz w:val="28"/>
              <w:szCs w:val="28"/>
            </w:rPr>
            <w:tab/>
          </w:r>
          <w:r>
            <w:rPr>
              <w:rFonts w:hint="eastAsia" w:ascii="仿宋" w:hAnsi="仿宋" w:eastAsia="仿宋" w:cs="仿宋"/>
              <w:sz w:val="28"/>
              <w:szCs w:val="28"/>
              <w:lang w:val="en-US" w:eastAsia="zh-CN"/>
            </w:rPr>
            <w:t>3</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0</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_Toc5721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5</w:t>
          </w:r>
          <w:r>
            <w:rPr>
              <w:rFonts w:hint="eastAsia" w:ascii="仿宋" w:hAnsi="仿宋" w:eastAsia="仿宋" w:cs="仿宋"/>
              <w:bCs/>
              <w:sz w:val="28"/>
              <w:szCs w:val="28"/>
            </w:rPr>
            <w:t>.2</w:t>
          </w:r>
          <w:r>
            <w:rPr>
              <w:rFonts w:hint="eastAsia" w:ascii="仿宋" w:hAnsi="仿宋" w:eastAsia="仿宋" w:cs="仿宋"/>
              <w:bCs/>
              <w:sz w:val="28"/>
              <w:szCs w:val="28"/>
              <w:lang w:val="en-US" w:eastAsia="zh-CN"/>
            </w:rPr>
            <w:t xml:space="preserve"> </w:t>
          </w:r>
          <w:r>
            <w:rPr>
              <w:rFonts w:hint="eastAsia" w:ascii="仿宋" w:hAnsi="仿宋" w:eastAsia="仿宋" w:cs="仿宋"/>
              <w:bCs/>
              <w:sz w:val="28"/>
              <w:szCs w:val="28"/>
            </w:rPr>
            <w:t>生态敏感区的污染清除方案</w:t>
          </w:r>
          <w:r>
            <w:rPr>
              <w:rFonts w:hint="eastAsia" w:ascii="仿宋" w:hAnsi="仿宋" w:eastAsia="仿宋" w:cs="仿宋"/>
              <w:sz w:val="28"/>
              <w:szCs w:val="28"/>
            </w:rPr>
            <w:tab/>
          </w:r>
          <w:r>
            <w:rPr>
              <w:rFonts w:hint="eastAsia" w:ascii="仿宋" w:hAnsi="仿宋" w:eastAsia="仿宋" w:cs="仿宋"/>
              <w:sz w:val="28"/>
              <w:szCs w:val="28"/>
              <w:lang w:val="en-US" w:eastAsia="zh-CN"/>
            </w:rPr>
            <w:t>3</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5</w:t>
          </w:r>
        </w:p>
        <w:p>
          <w:pPr>
            <w:pStyle w:val="30"/>
            <w:tabs>
              <w:tab w:val="right" w:leader="dot" w:pos="9070"/>
            </w:tabs>
            <w:spacing w:line="360" w:lineRule="auto"/>
            <w:rPr>
              <w:rFonts w:hint="eastAsia" w:ascii="仿宋" w:hAnsi="仿宋" w:eastAsia="仿宋" w:cs="仿宋"/>
              <w:b/>
              <w:sz w:val="28"/>
              <w:szCs w:val="28"/>
              <w:lang w:val="en-US" w:eastAsia="zh-CN"/>
            </w:rPr>
          </w:pPr>
          <w:r>
            <w:rPr>
              <w:rFonts w:hint="eastAsia" w:ascii="仿宋" w:hAnsi="仿宋" w:eastAsia="仿宋" w:cs="仿宋"/>
              <w:b/>
              <w:sz w:val="28"/>
              <w:szCs w:val="28"/>
            </w:rPr>
            <w:fldChar w:fldCharType="begin"/>
          </w:r>
          <w:r>
            <w:rPr>
              <w:rFonts w:hint="eastAsia" w:ascii="仿宋" w:hAnsi="仿宋" w:eastAsia="仿宋" w:cs="仿宋"/>
              <w:b/>
              <w:sz w:val="28"/>
              <w:szCs w:val="28"/>
            </w:rPr>
            <w:instrText xml:space="preserve"> HYPERLINK \l _Toc6762 </w:instrText>
          </w:r>
          <w:r>
            <w:rPr>
              <w:rFonts w:hint="eastAsia" w:ascii="仿宋" w:hAnsi="仿宋" w:eastAsia="仿宋" w:cs="仿宋"/>
              <w:b/>
              <w:sz w:val="28"/>
              <w:szCs w:val="28"/>
            </w:rPr>
            <w:fldChar w:fldCharType="separate"/>
          </w:r>
          <w:r>
            <w:rPr>
              <w:rFonts w:hint="eastAsia" w:ascii="仿宋" w:hAnsi="仿宋" w:eastAsia="仿宋" w:cs="仿宋"/>
              <w:b/>
              <w:bCs/>
              <w:sz w:val="28"/>
              <w:szCs w:val="28"/>
              <w:lang w:val="en-US" w:eastAsia="zh-CN"/>
            </w:rPr>
            <w:t>6、</w:t>
          </w:r>
          <w:r>
            <w:rPr>
              <w:rFonts w:hint="eastAsia" w:ascii="仿宋" w:hAnsi="仿宋" w:eastAsia="仿宋" w:cs="仿宋"/>
              <w:b/>
              <w:bCs/>
              <w:sz w:val="28"/>
              <w:szCs w:val="28"/>
            </w:rPr>
            <w:t>海上污染物回收和清除方案</w:t>
          </w:r>
          <w:r>
            <w:rPr>
              <w:rFonts w:hint="eastAsia" w:ascii="仿宋" w:hAnsi="仿宋" w:eastAsia="仿宋" w:cs="仿宋"/>
              <w:b/>
              <w:sz w:val="28"/>
              <w:szCs w:val="28"/>
            </w:rPr>
            <w:tab/>
          </w:r>
          <w:r>
            <w:rPr>
              <w:rFonts w:hint="eastAsia" w:ascii="仿宋" w:hAnsi="仿宋" w:eastAsia="仿宋" w:cs="仿宋"/>
              <w:b/>
              <w:sz w:val="28"/>
              <w:szCs w:val="28"/>
              <w:lang w:val="en-US" w:eastAsia="zh-CN"/>
            </w:rPr>
            <w:t>3</w:t>
          </w:r>
          <w:r>
            <w:rPr>
              <w:rFonts w:hint="eastAsia" w:ascii="仿宋" w:hAnsi="仿宋" w:eastAsia="仿宋" w:cs="仿宋"/>
              <w:b/>
              <w:sz w:val="28"/>
              <w:szCs w:val="28"/>
            </w:rPr>
            <w:fldChar w:fldCharType="end"/>
          </w:r>
          <w:r>
            <w:rPr>
              <w:rFonts w:hint="eastAsia" w:ascii="仿宋" w:hAnsi="仿宋" w:eastAsia="仿宋" w:cs="仿宋"/>
              <w:b/>
              <w:sz w:val="28"/>
              <w:szCs w:val="28"/>
              <w:lang w:val="en-US" w:eastAsia="zh-CN"/>
            </w:rPr>
            <w:t>6</w:t>
          </w:r>
        </w:p>
        <w:p>
          <w:pPr>
            <w:pStyle w:val="30"/>
            <w:tabs>
              <w:tab w:val="right" w:leader="dot" w:pos="9070"/>
            </w:tabs>
            <w:spacing w:line="360" w:lineRule="auto"/>
            <w:rPr>
              <w:rFonts w:hint="eastAsia" w:ascii="仿宋" w:hAnsi="仿宋" w:eastAsia="仿宋" w:cs="仿宋"/>
              <w:sz w:val="28"/>
              <w:szCs w:val="28"/>
            </w:rPr>
            <w:sectPr>
              <w:footerReference r:id="rId6" w:type="first"/>
              <w:footerReference r:id="rId5" w:type="default"/>
              <w:pgSz w:w="11906" w:h="16838"/>
              <w:pgMar w:top="1247" w:right="1418" w:bottom="1247" w:left="1418" w:header="964" w:footer="851" w:gutter="0"/>
              <w:pgBorders w:offsetFrom="page">
                <w:top w:val="none" w:sz="0" w:space="0"/>
                <w:left w:val="none" w:sz="0" w:space="0"/>
                <w:bottom w:val="none" w:sz="0" w:space="0"/>
                <w:right w:val="none" w:sz="0" w:space="0"/>
              </w:pgBorders>
              <w:pgNumType w:fmt="decimal" w:start="1"/>
              <w:cols w:space="720" w:num="1"/>
              <w:titlePg/>
              <w:docGrid w:linePitch="312" w:charSpace="0"/>
            </w:sectPr>
          </w:pP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_Toc6492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6</w:t>
          </w:r>
          <w:r>
            <w:rPr>
              <w:rFonts w:hint="eastAsia" w:ascii="仿宋" w:hAnsi="仿宋" w:eastAsia="仿宋" w:cs="仿宋"/>
              <w:bCs/>
              <w:sz w:val="28"/>
              <w:szCs w:val="28"/>
            </w:rPr>
            <w:t>.1</w:t>
          </w:r>
          <w:r>
            <w:rPr>
              <w:rFonts w:hint="eastAsia" w:ascii="仿宋" w:hAnsi="仿宋" w:eastAsia="仿宋" w:cs="仿宋"/>
              <w:bCs/>
              <w:sz w:val="28"/>
              <w:szCs w:val="28"/>
              <w:lang w:val="en-US" w:eastAsia="zh-CN"/>
            </w:rPr>
            <w:t xml:space="preserve"> </w:t>
          </w:r>
          <w:r>
            <w:rPr>
              <w:rFonts w:hint="eastAsia" w:ascii="仿宋" w:hAnsi="仿宋" w:eastAsia="仿宋" w:cs="仿宋"/>
              <w:bCs/>
              <w:sz w:val="28"/>
              <w:szCs w:val="28"/>
            </w:rPr>
            <w:t>溢油围控方案</w:t>
          </w:r>
          <w:r>
            <w:rPr>
              <w:rFonts w:hint="eastAsia" w:ascii="仿宋" w:hAnsi="仿宋" w:eastAsia="仿宋" w:cs="仿宋"/>
              <w:sz w:val="28"/>
              <w:szCs w:val="28"/>
            </w:rPr>
            <w:tab/>
          </w:r>
          <w:r>
            <w:rPr>
              <w:rFonts w:hint="eastAsia" w:ascii="仿宋" w:hAnsi="仿宋" w:eastAsia="仿宋" w:cs="仿宋"/>
              <w:sz w:val="28"/>
              <w:szCs w:val="28"/>
              <w:lang w:val="en-US" w:eastAsia="zh-CN"/>
            </w:rPr>
            <w:t>3</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6</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_Toc7558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6</w:t>
          </w:r>
          <w:r>
            <w:rPr>
              <w:rFonts w:hint="eastAsia" w:ascii="仿宋" w:hAnsi="仿宋" w:eastAsia="仿宋" w:cs="仿宋"/>
              <w:bCs/>
              <w:sz w:val="28"/>
              <w:szCs w:val="28"/>
            </w:rPr>
            <w:t>.2</w:t>
          </w:r>
          <w:r>
            <w:rPr>
              <w:rFonts w:hint="eastAsia" w:ascii="仿宋" w:hAnsi="仿宋" w:eastAsia="仿宋" w:cs="仿宋"/>
              <w:bCs/>
              <w:sz w:val="28"/>
              <w:szCs w:val="28"/>
              <w:lang w:val="en-US" w:eastAsia="zh-CN"/>
            </w:rPr>
            <w:t xml:space="preserve"> </w:t>
          </w:r>
          <w:r>
            <w:rPr>
              <w:rFonts w:hint="eastAsia" w:ascii="仿宋" w:hAnsi="仿宋" w:eastAsia="仿宋" w:cs="仿宋"/>
              <w:bCs/>
              <w:sz w:val="28"/>
              <w:szCs w:val="28"/>
            </w:rPr>
            <w:t>海上回收和溢油清除方案</w:t>
          </w:r>
          <w:r>
            <w:rPr>
              <w:rFonts w:hint="eastAsia" w:ascii="仿宋" w:hAnsi="仿宋" w:eastAsia="仿宋" w:cs="仿宋"/>
              <w:sz w:val="28"/>
              <w:szCs w:val="28"/>
            </w:rPr>
            <w:tab/>
          </w:r>
          <w:r>
            <w:rPr>
              <w:rFonts w:hint="eastAsia" w:ascii="仿宋" w:hAnsi="仿宋" w:eastAsia="仿宋" w:cs="仿宋"/>
              <w:sz w:val="28"/>
              <w:szCs w:val="28"/>
              <w:lang w:val="en-US" w:eastAsia="zh-CN"/>
            </w:rPr>
            <w:t>4</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7</w:t>
          </w:r>
        </w:p>
        <w:p>
          <w:pPr>
            <w:pStyle w:val="30"/>
            <w:tabs>
              <w:tab w:val="right" w:leader="dot" w:pos="9070"/>
            </w:tabs>
            <w:spacing w:line="360" w:lineRule="auto"/>
            <w:rPr>
              <w:rFonts w:hint="eastAsia" w:ascii="仿宋" w:hAnsi="仿宋" w:eastAsia="仿宋" w:cs="仿宋"/>
              <w:b/>
              <w:sz w:val="28"/>
              <w:szCs w:val="28"/>
              <w:lang w:val="en-US" w:eastAsia="zh-CN"/>
            </w:rPr>
          </w:pPr>
          <w:r>
            <w:rPr>
              <w:rFonts w:hint="eastAsia" w:ascii="仿宋" w:hAnsi="仿宋" w:eastAsia="仿宋" w:cs="仿宋"/>
              <w:b/>
              <w:sz w:val="28"/>
              <w:szCs w:val="28"/>
            </w:rPr>
            <w:fldChar w:fldCharType="begin"/>
          </w:r>
          <w:r>
            <w:rPr>
              <w:rFonts w:hint="eastAsia" w:ascii="仿宋" w:hAnsi="仿宋" w:eastAsia="仿宋" w:cs="仿宋"/>
              <w:b/>
              <w:sz w:val="28"/>
              <w:szCs w:val="28"/>
            </w:rPr>
            <w:instrText xml:space="preserve"> HYPERLINK \l _Toc13339 </w:instrText>
          </w:r>
          <w:r>
            <w:rPr>
              <w:rFonts w:hint="eastAsia" w:ascii="仿宋" w:hAnsi="仿宋" w:eastAsia="仿宋" w:cs="仿宋"/>
              <w:b/>
              <w:sz w:val="28"/>
              <w:szCs w:val="28"/>
            </w:rPr>
            <w:fldChar w:fldCharType="separate"/>
          </w: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岸线清污方案</w:t>
          </w:r>
          <w:r>
            <w:rPr>
              <w:rFonts w:hint="eastAsia" w:ascii="仿宋" w:hAnsi="仿宋" w:eastAsia="仿宋" w:cs="仿宋"/>
              <w:b/>
              <w:sz w:val="28"/>
              <w:szCs w:val="28"/>
            </w:rPr>
            <w:tab/>
          </w:r>
          <w:r>
            <w:rPr>
              <w:rFonts w:hint="eastAsia" w:ascii="仿宋" w:hAnsi="仿宋" w:eastAsia="仿宋" w:cs="仿宋"/>
              <w:b/>
              <w:sz w:val="28"/>
              <w:szCs w:val="28"/>
              <w:lang w:val="en-US" w:eastAsia="zh-CN"/>
            </w:rPr>
            <w:t>6</w:t>
          </w:r>
          <w:r>
            <w:rPr>
              <w:rFonts w:hint="eastAsia" w:ascii="仿宋" w:hAnsi="仿宋" w:eastAsia="仿宋" w:cs="仿宋"/>
              <w:b/>
              <w:sz w:val="28"/>
              <w:szCs w:val="28"/>
            </w:rPr>
            <w:fldChar w:fldCharType="end"/>
          </w:r>
          <w:r>
            <w:rPr>
              <w:rFonts w:hint="eastAsia" w:ascii="仿宋" w:hAnsi="仿宋" w:eastAsia="仿宋" w:cs="仿宋"/>
              <w:b/>
              <w:sz w:val="28"/>
              <w:szCs w:val="28"/>
              <w:lang w:val="en-US" w:eastAsia="zh-CN"/>
            </w:rPr>
            <w:t>6</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_Toc15818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7</w:t>
          </w:r>
          <w:r>
            <w:rPr>
              <w:rFonts w:hint="eastAsia" w:ascii="仿宋" w:hAnsi="仿宋" w:eastAsia="仿宋" w:cs="仿宋"/>
              <w:bCs/>
              <w:sz w:val="28"/>
              <w:szCs w:val="28"/>
            </w:rPr>
            <w:t>.</w:t>
          </w:r>
          <w:r>
            <w:rPr>
              <w:rFonts w:hint="eastAsia" w:ascii="仿宋" w:hAnsi="仿宋" w:eastAsia="仿宋" w:cs="仿宋"/>
              <w:bCs/>
              <w:sz w:val="28"/>
              <w:szCs w:val="28"/>
              <w:lang w:val="en-US" w:eastAsia="zh-CN"/>
            </w:rPr>
            <w:t xml:space="preserve">1 </w:t>
          </w:r>
          <w:r>
            <w:rPr>
              <w:rFonts w:hint="eastAsia" w:ascii="仿宋" w:hAnsi="仿宋" w:eastAsia="仿宋" w:cs="仿宋"/>
              <w:bCs/>
              <w:sz w:val="28"/>
              <w:szCs w:val="28"/>
            </w:rPr>
            <w:t>油在不同类型海岸线的状态及影响</w:t>
          </w:r>
          <w:r>
            <w:rPr>
              <w:rFonts w:hint="eastAsia" w:ascii="仿宋" w:hAnsi="仿宋" w:eastAsia="仿宋" w:cs="仿宋"/>
              <w:sz w:val="28"/>
              <w:szCs w:val="28"/>
            </w:rPr>
            <w:tab/>
          </w:r>
          <w:r>
            <w:rPr>
              <w:rFonts w:hint="eastAsia" w:ascii="仿宋" w:hAnsi="仿宋" w:eastAsia="仿宋" w:cs="仿宋"/>
              <w:sz w:val="28"/>
              <w:szCs w:val="28"/>
              <w:lang w:val="en-US" w:eastAsia="zh-CN"/>
            </w:rPr>
            <w:t>6</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6</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_Toc32172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7</w:t>
          </w:r>
          <w:r>
            <w:rPr>
              <w:rFonts w:hint="eastAsia" w:ascii="仿宋" w:hAnsi="仿宋" w:eastAsia="仿宋" w:cs="仿宋"/>
              <w:bCs/>
              <w:sz w:val="28"/>
              <w:szCs w:val="28"/>
            </w:rPr>
            <w:t>.2</w:t>
          </w:r>
          <w:r>
            <w:rPr>
              <w:rFonts w:hint="eastAsia" w:ascii="仿宋" w:hAnsi="仿宋" w:eastAsia="仿宋" w:cs="仿宋"/>
              <w:bCs/>
              <w:sz w:val="28"/>
              <w:szCs w:val="28"/>
              <w:lang w:val="en-US" w:eastAsia="zh-CN"/>
            </w:rPr>
            <w:t xml:space="preserve"> </w:t>
          </w:r>
          <w:r>
            <w:rPr>
              <w:rFonts w:hint="eastAsia" w:ascii="仿宋" w:hAnsi="仿宋" w:eastAsia="仿宋" w:cs="仿宋"/>
              <w:bCs/>
              <w:sz w:val="28"/>
              <w:szCs w:val="28"/>
            </w:rPr>
            <w:t>岸线的物理清除方法</w:t>
          </w:r>
          <w:r>
            <w:rPr>
              <w:rFonts w:hint="eastAsia" w:ascii="仿宋" w:hAnsi="仿宋" w:eastAsia="仿宋" w:cs="仿宋"/>
              <w:sz w:val="28"/>
              <w:szCs w:val="28"/>
            </w:rPr>
            <w:tab/>
          </w:r>
          <w:r>
            <w:rPr>
              <w:rFonts w:hint="eastAsia" w:ascii="仿宋" w:hAnsi="仿宋" w:eastAsia="仿宋" w:cs="仿宋"/>
              <w:sz w:val="28"/>
              <w:szCs w:val="28"/>
              <w:lang w:val="en-US" w:eastAsia="zh-CN"/>
            </w:rPr>
            <w:t>6</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6</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_Toc14375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7</w:t>
          </w:r>
          <w:r>
            <w:rPr>
              <w:rFonts w:hint="eastAsia" w:ascii="仿宋" w:hAnsi="仿宋" w:eastAsia="仿宋" w:cs="仿宋"/>
              <w:bCs/>
              <w:iCs/>
              <w:sz w:val="28"/>
              <w:szCs w:val="28"/>
            </w:rPr>
            <w:t>.3不同类型岸线污染清除方法</w:t>
          </w:r>
          <w:r>
            <w:rPr>
              <w:rFonts w:hint="eastAsia" w:ascii="仿宋" w:hAnsi="仿宋" w:eastAsia="仿宋" w:cs="仿宋"/>
              <w:sz w:val="28"/>
              <w:szCs w:val="28"/>
            </w:rPr>
            <w:tab/>
          </w:r>
          <w:r>
            <w:rPr>
              <w:rFonts w:hint="eastAsia" w:ascii="仿宋" w:hAnsi="仿宋" w:eastAsia="仿宋" w:cs="仿宋"/>
              <w:sz w:val="28"/>
              <w:szCs w:val="28"/>
              <w:lang w:val="en-US" w:eastAsia="zh-CN"/>
            </w:rPr>
            <w:t>6</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9</w:t>
          </w:r>
        </w:p>
        <w:p>
          <w:pPr>
            <w:pStyle w:val="30"/>
            <w:tabs>
              <w:tab w:val="right" w:leader="dot" w:pos="9070"/>
            </w:tabs>
            <w:spacing w:line="360" w:lineRule="auto"/>
            <w:rPr>
              <w:rFonts w:hint="eastAsia" w:ascii="仿宋" w:hAnsi="仿宋" w:eastAsia="仿宋" w:cs="仿宋"/>
              <w:b/>
              <w:bCs/>
              <w:sz w:val="28"/>
              <w:szCs w:val="28"/>
              <w:lang w:val="en-US" w:eastAsia="zh-CN"/>
            </w:rPr>
          </w:pP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_Toc10113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8、</w:t>
          </w:r>
          <w:r>
            <w:rPr>
              <w:rFonts w:hint="eastAsia" w:ascii="仿宋" w:hAnsi="仿宋" w:eastAsia="仿宋" w:cs="仿宋"/>
              <w:b/>
              <w:bCs/>
              <w:sz w:val="28"/>
              <w:szCs w:val="28"/>
            </w:rPr>
            <w:t>污染清除作业安全方案</w:t>
          </w:r>
          <w:r>
            <w:rPr>
              <w:rFonts w:hint="eastAsia" w:ascii="仿宋" w:hAnsi="仿宋" w:eastAsia="仿宋" w:cs="仿宋"/>
              <w:b/>
              <w:bCs/>
              <w:sz w:val="28"/>
              <w:szCs w:val="28"/>
            </w:rPr>
            <w:tab/>
          </w:r>
          <w:r>
            <w:rPr>
              <w:rFonts w:hint="eastAsia" w:ascii="仿宋" w:hAnsi="仿宋" w:eastAsia="仿宋" w:cs="仿宋"/>
              <w:b/>
              <w:bCs/>
              <w:sz w:val="28"/>
              <w:szCs w:val="28"/>
              <w:lang w:val="en-US" w:eastAsia="zh-CN"/>
            </w:rPr>
            <w:t>7</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t>1</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_Toc5505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8</w:t>
          </w:r>
          <w:r>
            <w:rPr>
              <w:rFonts w:hint="eastAsia" w:ascii="仿宋" w:hAnsi="仿宋" w:eastAsia="仿宋" w:cs="仿宋"/>
              <w:bCs/>
              <w:iCs/>
              <w:sz w:val="28"/>
              <w:szCs w:val="28"/>
            </w:rPr>
            <w:t>.1本公司配备的安全防护设备设施情况</w:t>
          </w:r>
          <w:r>
            <w:rPr>
              <w:rFonts w:hint="eastAsia" w:ascii="仿宋" w:hAnsi="仿宋" w:eastAsia="仿宋" w:cs="仿宋"/>
              <w:sz w:val="28"/>
              <w:szCs w:val="28"/>
            </w:rPr>
            <w:tab/>
          </w:r>
          <w:r>
            <w:rPr>
              <w:rFonts w:hint="eastAsia" w:ascii="仿宋" w:hAnsi="仿宋" w:eastAsia="仿宋" w:cs="仿宋"/>
              <w:sz w:val="28"/>
              <w:szCs w:val="28"/>
              <w:lang w:val="en-US" w:eastAsia="zh-CN"/>
            </w:rPr>
            <w:t>7</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1</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_Toc3591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8</w:t>
          </w:r>
          <w:r>
            <w:rPr>
              <w:rFonts w:hint="eastAsia" w:ascii="仿宋" w:hAnsi="仿宋" w:eastAsia="仿宋" w:cs="仿宋"/>
              <w:bCs/>
              <w:iCs/>
              <w:sz w:val="28"/>
              <w:szCs w:val="28"/>
            </w:rPr>
            <w:t>.2</w:t>
          </w:r>
          <w:r>
            <w:rPr>
              <w:rFonts w:hint="eastAsia" w:ascii="仿宋" w:hAnsi="仿宋" w:eastAsia="仿宋" w:cs="仿宋"/>
              <w:bCs/>
              <w:iCs/>
              <w:sz w:val="28"/>
              <w:szCs w:val="28"/>
              <w:lang w:eastAsia="zh-CN"/>
            </w:rPr>
            <w:t>作员人员个人防护及作业安全</w:t>
          </w:r>
          <w:r>
            <w:rPr>
              <w:rFonts w:hint="eastAsia" w:ascii="仿宋" w:hAnsi="仿宋" w:eastAsia="仿宋" w:cs="仿宋"/>
              <w:bCs/>
              <w:iCs/>
              <w:sz w:val="28"/>
              <w:szCs w:val="28"/>
            </w:rPr>
            <w:t>方案</w:t>
          </w:r>
          <w:r>
            <w:rPr>
              <w:rFonts w:hint="eastAsia" w:ascii="仿宋" w:hAnsi="仿宋" w:eastAsia="仿宋" w:cs="仿宋"/>
              <w:sz w:val="28"/>
              <w:szCs w:val="28"/>
            </w:rPr>
            <w:tab/>
          </w:r>
          <w:r>
            <w:rPr>
              <w:rFonts w:hint="eastAsia" w:ascii="仿宋" w:hAnsi="仿宋" w:eastAsia="仿宋" w:cs="仿宋"/>
              <w:sz w:val="28"/>
              <w:szCs w:val="28"/>
              <w:lang w:val="en-US" w:eastAsia="zh-CN"/>
            </w:rPr>
            <w:t>7</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1</w:t>
          </w:r>
        </w:p>
        <w:p>
          <w:pPr>
            <w:pStyle w:val="30"/>
            <w:tabs>
              <w:tab w:val="right" w:leader="dot" w:pos="9070"/>
            </w:tabs>
            <w:spacing w:line="360" w:lineRule="auto"/>
            <w:rPr>
              <w:rFonts w:hint="eastAsia" w:ascii="仿宋" w:hAnsi="仿宋" w:eastAsia="仿宋" w:cs="仿宋"/>
              <w:b/>
              <w:bCs/>
              <w:sz w:val="28"/>
              <w:szCs w:val="28"/>
              <w:lang w:val="en-US" w:eastAsia="zh-CN"/>
            </w:rPr>
          </w:pP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_Toc10113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9、</w:t>
          </w:r>
          <w:r>
            <w:rPr>
              <w:rFonts w:hint="eastAsia" w:ascii="仿宋" w:hAnsi="仿宋" w:eastAsia="仿宋" w:cs="仿宋"/>
              <w:b/>
              <w:bCs/>
              <w:sz w:val="28"/>
              <w:szCs w:val="28"/>
              <w:lang w:eastAsia="zh-CN"/>
            </w:rPr>
            <w:t>发放范围</w:t>
          </w:r>
          <w:r>
            <w:rPr>
              <w:rFonts w:hint="eastAsia" w:ascii="仿宋" w:hAnsi="仿宋" w:eastAsia="仿宋" w:cs="仿宋"/>
              <w:b/>
              <w:bCs/>
              <w:sz w:val="28"/>
              <w:szCs w:val="28"/>
            </w:rPr>
            <w:tab/>
          </w:r>
          <w:r>
            <w:rPr>
              <w:rFonts w:hint="eastAsia" w:ascii="仿宋" w:hAnsi="仿宋" w:eastAsia="仿宋" w:cs="仿宋"/>
              <w:b/>
              <w:bCs/>
              <w:sz w:val="28"/>
              <w:szCs w:val="28"/>
              <w:lang w:val="en-US" w:eastAsia="zh-CN"/>
            </w:rPr>
            <w:t>7</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t>6</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_Toc10113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10、</w:t>
          </w:r>
          <w:r>
            <w:rPr>
              <w:rFonts w:hint="eastAsia" w:ascii="仿宋" w:hAnsi="仿宋" w:eastAsia="仿宋" w:cs="仿宋"/>
              <w:b/>
              <w:bCs/>
              <w:sz w:val="28"/>
              <w:szCs w:val="28"/>
              <w:lang w:eastAsia="zh-CN"/>
            </w:rPr>
            <w:t>附表和附件</w:t>
          </w:r>
          <w:r>
            <w:rPr>
              <w:rFonts w:hint="eastAsia" w:ascii="仿宋" w:hAnsi="仿宋" w:eastAsia="仿宋" w:cs="仿宋"/>
              <w:b/>
              <w:bCs/>
              <w:sz w:val="28"/>
              <w:szCs w:val="28"/>
            </w:rPr>
            <w:tab/>
          </w:r>
          <w:r>
            <w:rPr>
              <w:rFonts w:hint="eastAsia" w:ascii="仿宋" w:hAnsi="仿宋" w:eastAsia="仿宋" w:cs="仿宋"/>
              <w:b/>
              <w:bCs/>
              <w:sz w:val="28"/>
              <w:szCs w:val="28"/>
              <w:lang w:val="en-US" w:eastAsia="zh-CN"/>
            </w:rPr>
            <w:t>7</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t>6</w:t>
          </w:r>
        </w:p>
        <w:p>
          <w:pPr>
            <w:pStyle w:val="30"/>
            <w:tabs>
              <w:tab w:val="right" w:leader="dot" w:pos="9070"/>
            </w:tabs>
            <w:spacing w:line="360" w:lineRule="auto"/>
            <w:rPr>
              <w:rFonts w:hint="eastAsia" w:ascii="仿宋" w:hAnsi="仿宋" w:eastAsia="仿宋" w:cs="仿宋"/>
              <w:b w:val="0"/>
              <w:bCs/>
              <w:sz w:val="28"/>
              <w:szCs w:val="28"/>
              <w:lang w:val="en-US" w:eastAsia="zh-CN"/>
            </w:rPr>
          </w:pPr>
          <w:r>
            <w:rPr>
              <w:rFonts w:hint="eastAsia" w:ascii="仿宋" w:hAnsi="仿宋" w:eastAsia="仿宋" w:cs="仿宋"/>
              <w:b w:val="0"/>
              <w:bCs/>
              <w:sz w:val="28"/>
              <w:szCs w:val="28"/>
            </w:rPr>
            <w:fldChar w:fldCharType="begin"/>
          </w:r>
          <w:r>
            <w:rPr>
              <w:rFonts w:hint="eastAsia" w:ascii="仿宋" w:hAnsi="仿宋" w:eastAsia="仿宋" w:cs="仿宋"/>
              <w:b w:val="0"/>
              <w:bCs/>
              <w:sz w:val="28"/>
              <w:szCs w:val="28"/>
            </w:rPr>
            <w:instrText xml:space="preserve"> HYPERLINK \l _Toc14546 </w:instrText>
          </w:r>
          <w:r>
            <w:rPr>
              <w:rFonts w:hint="eastAsia" w:ascii="仿宋" w:hAnsi="仿宋" w:eastAsia="仿宋" w:cs="仿宋"/>
              <w:b w:val="0"/>
              <w:bCs/>
              <w:sz w:val="28"/>
              <w:szCs w:val="28"/>
            </w:rPr>
            <w:fldChar w:fldCharType="separate"/>
          </w:r>
          <w:r>
            <w:rPr>
              <w:rFonts w:hint="eastAsia" w:ascii="仿宋" w:hAnsi="仿宋" w:eastAsia="仿宋" w:cs="仿宋"/>
              <w:b w:val="0"/>
              <w:bCs/>
              <w:sz w:val="28"/>
              <w:szCs w:val="28"/>
            </w:rPr>
            <w:t>附表1</w:t>
          </w:r>
          <w:r>
            <w:rPr>
              <w:rFonts w:hint="eastAsia" w:ascii="仿宋" w:hAnsi="仿宋" w:eastAsia="仿宋" w:cs="仿宋"/>
              <w:b w:val="0"/>
              <w:bCs/>
              <w:sz w:val="28"/>
              <w:szCs w:val="28"/>
              <w:lang w:val="en-US" w:eastAsia="zh-CN"/>
            </w:rPr>
            <w:t xml:space="preserve"> </w:t>
          </w:r>
          <w:r>
            <w:rPr>
              <w:rFonts w:hint="eastAsia" w:ascii="仿宋" w:hAnsi="仿宋" w:eastAsia="仿宋" w:cs="仿宋"/>
              <w:b w:val="0"/>
              <w:bCs/>
              <w:sz w:val="28"/>
              <w:szCs w:val="28"/>
            </w:rPr>
            <w:t>污染清除船靠船作业安全检查表</w:t>
          </w:r>
          <w:r>
            <w:rPr>
              <w:rFonts w:hint="eastAsia" w:ascii="仿宋" w:hAnsi="仿宋" w:eastAsia="仿宋" w:cs="仿宋"/>
              <w:b w:val="0"/>
              <w:bCs/>
              <w:sz w:val="28"/>
              <w:szCs w:val="28"/>
            </w:rPr>
            <w:tab/>
          </w:r>
          <w:r>
            <w:rPr>
              <w:rFonts w:hint="eastAsia" w:ascii="仿宋" w:hAnsi="仿宋" w:eastAsia="仿宋" w:cs="仿宋"/>
              <w:b w:val="0"/>
              <w:bCs/>
              <w:sz w:val="28"/>
              <w:szCs w:val="28"/>
              <w:lang w:val="en-US" w:eastAsia="zh-CN"/>
            </w:rPr>
            <w:t>7</w:t>
          </w:r>
          <w:r>
            <w:rPr>
              <w:rFonts w:hint="eastAsia" w:ascii="仿宋" w:hAnsi="仿宋" w:eastAsia="仿宋" w:cs="仿宋"/>
              <w:b w:val="0"/>
              <w:bCs/>
              <w:sz w:val="28"/>
              <w:szCs w:val="28"/>
            </w:rPr>
            <w:fldChar w:fldCharType="end"/>
          </w:r>
          <w:r>
            <w:rPr>
              <w:rFonts w:hint="eastAsia" w:ascii="仿宋" w:hAnsi="仿宋" w:eastAsia="仿宋" w:cs="仿宋"/>
              <w:b w:val="0"/>
              <w:bCs/>
              <w:sz w:val="28"/>
              <w:szCs w:val="28"/>
              <w:lang w:val="en-US" w:eastAsia="zh-CN"/>
            </w:rPr>
            <w:t>7</w:t>
          </w:r>
        </w:p>
        <w:p>
          <w:pPr>
            <w:pStyle w:val="30"/>
            <w:tabs>
              <w:tab w:val="right" w:leader="dot" w:pos="9070"/>
            </w:tabs>
            <w:spacing w:line="360" w:lineRule="auto"/>
            <w:rPr>
              <w:rFonts w:hint="eastAsia" w:ascii="仿宋" w:hAnsi="仿宋" w:eastAsia="仿宋" w:cs="仿宋"/>
              <w:b w:val="0"/>
              <w:bCs/>
              <w:sz w:val="28"/>
              <w:szCs w:val="28"/>
              <w:lang w:val="en-US" w:eastAsia="zh-CN"/>
            </w:rPr>
          </w:pPr>
          <w:r>
            <w:rPr>
              <w:rFonts w:hint="eastAsia" w:ascii="仿宋" w:hAnsi="仿宋" w:eastAsia="仿宋" w:cs="仿宋"/>
              <w:b w:val="0"/>
              <w:bCs/>
              <w:sz w:val="28"/>
              <w:szCs w:val="28"/>
            </w:rPr>
            <w:fldChar w:fldCharType="begin"/>
          </w:r>
          <w:r>
            <w:rPr>
              <w:rFonts w:hint="eastAsia" w:ascii="仿宋" w:hAnsi="仿宋" w:eastAsia="仿宋" w:cs="仿宋"/>
              <w:b w:val="0"/>
              <w:bCs/>
              <w:sz w:val="28"/>
              <w:szCs w:val="28"/>
            </w:rPr>
            <w:instrText xml:space="preserve"> HYPERLINK \l _Toc10121 </w:instrText>
          </w:r>
          <w:r>
            <w:rPr>
              <w:rFonts w:hint="eastAsia" w:ascii="仿宋" w:hAnsi="仿宋" w:eastAsia="仿宋" w:cs="仿宋"/>
              <w:b w:val="0"/>
              <w:bCs/>
              <w:sz w:val="28"/>
              <w:szCs w:val="28"/>
            </w:rPr>
            <w:fldChar w:fldCharType="separate"/>
          </w:r>
          <w:r>
            <w:rPr>
              <w:rFonts w:hint="eastAsia" w:ascii="仿宋" w:hAnsi="仿宋" w:eastAsia="仿宋" w:cs="仿宋"/>
              <w:b w:val="0"/>
              <w:bCs/>
              <w:sz w:val="28"/>
              <w:szCs w:val="28"/>
            </w:rPr>
            <w:t>附表2</w:t>
          </w:r>
          <w:r>
            <w:rPr>
              <w:rFonts w:hint="eastAsia" w:ascii="仿宋" w:hAnsi="仿宋" w:eastAsia="仿宋" w:cs="仿宋"/>
              <w:b w:val="0"/>
              <w:bCs/>
              <w:sz w:val="28"/>
              <w:szCs w:val="28"/>
              <w:lang w:val="en-US" w:eastAsia="zh-CN"/>
            </w:rPr>
            <w:t xml:space="preserve"> </w:t>
          </w:r>
          <w:r>
            <w:rPr>
              <w:rFonts w:hint="eastAsia" w:ascii="仿宋" w:hAnsi="仿宋" w:eastAsia="仿宋" w:cs="仿宋"/>
              <w:b w:val="0"/>
              <w:bCs/>
              <w:sz w:val="28"/>
              <w:szCs w:val="28"/>
            </w:rPr>
            <w:t>围控失效报告信息表</w:t>
          </w:r>
          <w:r>
            <w:rPr>
              <w:rFonts w:hint="eastAsia" w:ascii="仿宋" w:hAnsi="仿宋" w:eastAsia="仿宋" w:cs="仿宋"/>
              <w:b w:val="0"/>
              <w:bCs/>
              <w:sz w:val="28"/>
              <w:szCs w:val="28"/>
            </w:rPr>
            <w:tab/>
          </w:r>
          <w:r>
            <w:rPr>
              <w:rFonts w:hint="eastAsia" w:ascii="仿宋" w:hAnsi="仿宋" w:eastAsia="仿宋" w:cs="仿宋"/>
              <w:b w:val="0"/>
              <w:bCs/>
              <w:sz w:val="28"/>
              <w:szCs w:val="28"/>
              <w:lang w:val="en-US" w:eastAsia="zh-CN"/>
            </w:rPr>
            <w:t>7</w:t>
          </w:r>
          <w:r>
            <w:rPr>
              <w:rFonts w:hint="eastAsia" w:ascii="仿宋" w:hAnsi="仿宋" w:eastAsia="仿宋" w:cs="仿宋"/>
              <w:b w:val="0"/>
              <w:bCs/>
              <w:sz w:val="28"/>
              <w:szCs w:val="28"/>
            </w:rPr>
            <w:fldChar w:fldCharType="end"/>
          </w:r>
          <w:r>
            <w:rPr>
              <w:rFonts w:hint="eastAsia" w:ascii="仿宋" w:hAnsi="仿宋" w:eastAsia="仿宋" w:cs="仿宋"/>
              <w:b w:val="0"/>
              <w:bCs/>
              <w:sz w:val="28"/>
              <w:szCs w:val="28"/>
              <w:lang w:val="en-US" w:eastAsia="zh-CN"/>
            </w:rPr>
            <w:t>8</w:t>
          </w:r>
        </w:p>
        <w:p>
          <w:pPr>
            <w:pStyle w:val="24"/>
            <w:tabs>
              <w:tab w:val="right" w:leader="dot" w:pos="9070"/>
            </w:tabs>
            <w:rPr>
              <w:b/>
            </w:rPr>
          </w:pPr>
        </w:p>
        <w:p>
          <w:pPr>
            <w:sectPr>
              <w:footerReference r:id="rId8" w:type="first"/>
              <w:footerReference r:id="rId7" w:type="default"/>
              <w:pgSz w:w="11906" w:h="16838"/>
              <w:pgMar w:top="1247" w:right="1418" w:bottom="1247" w:left="1418" w:header="964" w:footer="851" w:gutter="0"/>
              <w:pgBorders w:offsetFrom="page">
                <w:top w:val="none" w:sz="0" w:space="0"/>
                <w:left w:val="none" w:sz="0" w:space="0"/>
                <w:bottom w:val="none" w:sz="0" w:space="0"/>
                <w:right w:val="none" w:sz="0" w:space="0"/>
              </w:pgBorders>
              <w:pgNumType w:fmt="decimal" w:start="1"/>
              <w:cols w:space="720" w:num="1"/>
              <w:docGrid w:linePitch="312" w:charSpace="0"/>
            </w:sectPr>
          </w:pPr>
          <w:r>
            <w:fldChar w:fldCharType="end"/>
          </w:r>
        </w:p>
      </w:sdtContent>
    </w:sdt>
    <w:p/>
    <w:p>
      <w:pPr>
        <w:pStyle w:val="2"/>
        <w:numPr>
          <w:ilvl w:val="0"/>
          <w:numId w:val="0"/>
        </w:numPr>
        <w:tabs>
          <w:tab w:val="left" w:pos="542"/>
        </w:tabs>
        <w:spacing w:before="0" w:after="0" w:line="360" w:lineRule="auto"/>
        <w:ind w:right="0" w:rightChars="0" w:firstLine="562" w:firstLineChars="200"/>
        <w:jc w:val="both"/>
        <w:outlineLvl w:val="0"/>
        <w:rPr>
          <w:rFonts w:hint="eastAsia" w:ascii="仿宋" w:hAnsi="仿宋" w:eastAsia="仿宋" w:cs="仿宋"/>
          <w:b/>
          <w:color w:val="auto"/>
          <w:sz w:val="28"/>
          <w:szCs w:val="28"/>
        </w:rPr>
      </w:pPr>
      <w:bookmarkStart w:id="2" w:name="_Toc13790"/>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总则</w:t>
      </w:r>
      <w:bookmarkEnd w:id="1"/>
      <w:bookmarkEnd w:id="2"/>
    </w:p>
    <w:p>
      <w:pPr>
        <w:pStyle w:val="20"/>
        <w:numPr>
          <w:ilvl w:val="0"/>
          <w:numId w:val="0"/>
        </w:numPr>
        <w:tabs>
          <w:tab w:val="left" w:pos="784"/>
        </w:tabs>
        <w:spacing w:before="0" w:after="0" w:line="360" w:lineRule="auto"/>
        <w:ind w:right="0" w:rightChars="0" w:firstLine="562" w:firstLineChars="200"/>
        <w:jc w:val="both"/>
        <w:outlineLvl w:val="1"/>
        <w:rPr>
          <w:rFonts w:hint="eastAsia" w:ascii="仿宋" w:hAnsi="仿宋" w:eastAsia="仿宋" w:cs="仿宋"/>
          <w:b/>
          <w:bCs w:val="0"/>
          <w:color w:val="auto"/>
          <w:sz w:val="28"/>
          <w:szCs w:val="28"/>
        </w:rPr>
      </w:pPr>
      <w:bookmarkStart w:id="3" w:name="_Toc8228"/>
      <w:r>
        <w:rPr>
          <w:rFonts w:hint="eastAsia" w:ascii="仿宋" w:hAnsi="仿宋" w:eastAsia="仿宋" w:cs="仿宋"/>
          <w:b/>
          <w:bCs w:val="0"/>
          <w:color w:val="auto"/>
          <w:sz w:val="28"/>
          <w:szCs w:val="28"/>
          <w:lang w:val="en-US" w:eastAsia="zh-CN"/>
        </w:rPr>
        <w:t xml:space="preserve">1.1 </w:t>
      </w:r>
      <w:r>
        <w:rPr>
          <w:rFonts w:hint="eastAsia" w:ascii="仿宋" w:hAnsi="仿宋" w:eastAsia="仿宋" w:cs="仿宋"/>
          <w:b/>
          <w:bCs w:val="0"/>
          <w:color w:val="auto"/>
          <w:sz w:val="28"/>
          <w:szCs w:val="28"/>
        </w:rPr>
        <w:t>目的</w:t>
      </w:r>
      <w:bookmarkEnd w:id="3"/>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为确保船舶污染物清除作业过程中的应急策略和具体操作方案能准确</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快速制订，在海上污染物回收和清除、主要敏感资源围护、岸线清污、应急堵漏和卸载等作业过程中有章可循，保障清污作业的有序和有效开展，确保清污作业人员的安全，并防止清污过程发生二次污染</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制定本方案</w:t>
      </w:r>
      <w:r>
        <w:rPr>
          <w:rFonts w:hint="eastAsia" w:ascii="仿宋" w:hAnsi="仿宋" w:eastAsia="仿宋" w:cs="仿宋"/>
          <w:color w:val="auto"/>
          <w:sz w:val="28"/>
          <w:szCs w:val="28"/>
        </w:rPr>
        <w:t>。</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本方案可用于具体清污作业的操作方案，也可用于本公司高级指挥人员、现场指挥人员与和应急操作人员的日常培训教材。</w:t>
      </w:r>
    </w:p>
    <w:p>
      <w:pPr>
        <w:pStyle w:val="7"/>
        <w:numPr>
          <w:ilvl w:val="0"/>
          <w:numId w:val="0"/>
        </w:numPr>
        <w:bidi w:val="0"/>
        <w:spacing w:line="360" w:lineRule="auto"/>
        <w:ind w:right="0" w:rightChars="0" w:firstLine="562" w:firstLineChars="200"/>
        <w:jc w:val="both"/>
        <w:outlineLvl w:val="1"/>
        <w:rPr>
          <w:rFonts w:hint="eastAsia" w:ascii="仿宋" w:hAnsi="仿宋" w:eastAsia="仿宋" w:cs="仿宋"/>
          <w:b/>
          <w:bCs/>
          <w:color w:val="auto"/>
          <w:sz w:val="28"/>
          <w:szCs w:val="28"/>
        </w:rPr>
      </w:pPr>
      <w:bookmarkStart w:id="4" w:name="_Toc21569"/>
      <w:r>
        <w:rPr>
          <w:rFonts w:hint="eastAsia" w:ascii="仿宋" w:hAnsi="仿宋" w:eastAsia="仿宋" w:cs="仿宋"/>
          <w:b/>
          <w:bCs/>
          <w:color w:val="auto"/>
          <w:sz w:val="28"/>
          <w:szCs w:val="28"/>
          <w:lang w:val="en-US" w:eastAsia="zh-CN"/>
        </w:rPr>
        <w:t xml:space="preserve">1.2 </w:t>
      </w:r>
      <w:r>
        <w:rPr>
          <w:rFonts w:hint="eastAsia" w:ascii="仿宋" w:hAnsi="仿宋" w:eastAsia="仿宋" w:cs="仿宋"/>
          <w:b/>
          <w:bCs/>
          <w:color w:val="auto"/>
          <w:sz w:val="28"/>
          <w:szCs w:val="28"/>
          <w:lang w:eastAsia="zh-CN"/>
        </w:rPr>
        <w:t>适用范围</w:t>
      </w:r>
      <w:bookmarkEnd w:id="4"/>
    </w:p>
    <w:p>
      <w:pPr>
        <w:pStyle w:val="7"/>
        <w:numPr>
          <w:ilvl w:val="0"/>
          <w:numId w:val="0"/>
        </w:numPr>
        <w:bidi w:val="0"/>
        <w:spacing w:line="360" w:lineRule="auto"/>
        <w:ind w:right="0" w:rightChars="0" w:firstLine="560" w:firstLineChars="200"/>
        <w:jc w:val="both"/>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本方案适用</w:t>
      </w:r>
      <w:r>
        <w:rPr>
          <w:rFonts w:hint="eastAsia" w:ascii="仿宋" w:hAnsi="仿宋" w:eastAsia="仿宋" w:cs="仿宋"/>
          <w:b w:val="0"/>
          <w:bCs w:val="0"/>
          <w:color w:val="auto"/>
          <w:sz w:val="28"/>
          <w:szCs w:val="28"/>
          <w:lang w:val="en-US" w:eastAsia="zh-CN"/>
        </w:rPr>
        <w:t>于</w:t>
      </w:r>
      <w:r>
        <w:rPr>
          <w:rFonts w:hint="eastAsia" w:ascii="仿宋" w:hAnsi="仿宋" w:eastAsia="仿宋" w:cs="仿宋"/>
          <w:b w:val="0"/>
          <w:bCs w:val="0"/>
          <w:color w:val="auto"/>
          <w:sz w:val="28"/>
          <w:szCs w:val="28"/>
        </w:rPr>
        <w:t>船舶</w:t>
      </w:r>
      <w:r>
        <w:rPr>
          <w:rFonts w:hint="eastAsia" w:ascii="仿宋" w:hAnsi="仿宋" w:eastAsia="仿宋" w:cs="仿宋"/>
          <w:b w:val="0"/>
          <w:bCs w:val="0"/>
          <w:color w:val="auto"/>
          <w:sz w:val="28"/>
          <w:szCs w:val="28"/>
          <w:lang w:val="en-US" w:eastAsia="zh-CN"/>
        </w:rPr>
        <w:t>污染物</w:t>
      </w:r>
      <w:r>
        <w:rPr>
          <w:rFonts w:hint="eastAsia" w:ascii="仿宋" w:hAnsi="仿宋" w:eastAsia="仿宋" w:cs="仿宋"/>
          <w:b w:val="0"/>
          <w:bCs w:val="0"/>
          <w:color w:val="auto"/>
          <w:sz w:val="28"/>
          <w:szCs w:val="28"/>
        </w:rPr>
        <w:t>清除作业涉及的海上、河口的污染物回收和清除、主要敏感资源围护、岸线清污、应急堵漏和卸载、作业安全等内容。</w:t>
      </w:r>
    </w:p>
    <w:p>
      <w:pPr>
        <w:pStyle w:val="25"/>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562" w:firstLineChars="200"/>
        <w:jc w:val="both"/>
        <w:textAlignment w:val="auto"/>
        <w:outlineLvl w:val="1"/>
        <w:rPr>
          <w:rFonts w:hint="eastAsia" w:ascii="仿宋" w:hAnsi="仿宋" w:eastAsia="仿宋" w:cs="仿宋"/>
          <w:b/>
          <w:bCs/>
          <w:iCs/>
          <w:color w:val="auto"/>
          <w:sz w:val="28"/>
          <w:szCs w:val="28"/>
        </w:rPr>
      </w:pPr>
      <w:bookmarkStart w:id="5" w:name="_Toc24010"/>
      <w:bookmarkStart w:id="6" w:name="_Toc3354"/>
      <w:bookmarkStart w:id="7" w:name="_Toc24290"/>
      <w:r>
        <w:rPr>
          <w:rFonts w:hint="eastAsia" w:ascii="仿宋" w:hAnsi="仿宋" w:eastAsia="仿宋" w:cs="仿宋"/>
          <w:b/>
          <w:bCs/>
          <w:iCs/>
          <w:color w:val="auto"/>
          <w:sz w:val="28"/>
          <w:szCs w:val="28"/>
          <w:lang w:val="en-US" w:eastAsia="zh-CN"/>
        </w:rPr>
        <w:t>1.3</w:t>
      </w:r>
      <w:r>
        <w:rPr>
          <w:rFonts w:hint="eastAsia" w:ascii="仿宋" w:hAnsi="仿宋" w:eastAsia="仿宋" w:cs="仿宋"/>
          <w:b/>
          <w:bCs/>
          <w:iCs/>
          <w:color w:val="auto"/>
          <w:sz w:val="28"/>
          <w:szCs w:val="28"/>
        </w:rPr>
        <w:t>术语和定义</w:t>
      </w:r>
      <w:bookmarkEnd w:id="5"/>
      <w:bookmarkEnd w:id="6"/>
      <w:bookmarkEnd w:id="7"/>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outlineLvl w:val="2"/>
        <w:rPr>
          <w:rFonts w:hint="eastAsia" w:ascii="仿宋" w:hAnsi="仿宋" w:eastAsia="仿宋" w:cs="仿宋"/>
          <w:b w:val="0"/>
          <w:bCs w:val="0"/>
          <w:color w:val="auto"/>
          <w:sz w:val="28"/>
          <w:szCs w:val="28"/>
        </w:rPr>
      </w:pPr>
      <w:bookmarkStart w:id="8" w:name="_Toc18642"/>
      <w:r>
        <w:rPr>
          <w:rFonts w:hint="eastAsia" w:ascii="仿宋" w:hAnsi="仿宋" w:eastAsia="仿宋" w:cs="仿宋"/>
          <w:b w:val="0"/>
          <w:bCs w:val="0"/>
          <w:color w:val="auto"/>
          <w:sz w:val="28"/>
          <w:szCs w:val="28"/>
          <w:lang w:val="en-US" w:eastAsia="zh-CN"/>
        </w:rPr>
        <w:t xml:space="preserve">1.3.1 </w:t>
      </w:r>
      <w:r>
        <w:rPr>
          <w:rFonts w:hint="eastAsia" w:ascii="仿宋" w:hAnsi="仿宋" w:eastAsia="仿宋" w:cs="仿宋"/>
          <w:b w:val="0"/>
          <w:bCs w:val="0"/>
          <w:color w:val="auto"/>
          <w:sz w:val="28"/>
          <w:szCs w:val="28"/>
        </w:rPr>
        <w:fldChar w:fldCharType="begin"/>
      </w:r>
      <w:r>
        <w:rPr>
          <w:rFonts w:hint="eastAsia" w:ascii="仿宋" w:hAnsi="仿宋" w:eastAsia="仿宋" w:cs="仿宋"/>
          <w:b w:val="0"/>
          <w:bCs w:val="0"/>
          <w:color w:val="auto"/>
          <w:sz w:val="28"/>
          <w:szCs w:val="28"/>
        </w:rPr>
        <w:instrText xml:space="preserve"> HYPERLINK "http://www.china.com.cn/policy/txt/2010-10/08/content_21073731_2.htm" \t "_blank" </w:instrText>
      </w:r>
      <w:r>
        <w:rPr>
          <w:rFonts w:hint="eastAsia" w:ascii="仿宋" w:hAnsi="仿宋" w:eastAsia="仿宋" w:cs="仿宋"/>
          <w:b w:val="0"/>
          <w:bCs w:val="0"/>
          <w:color w:val="auto"/>
          <w:sz w:val="28"/>
          <w:szCs w:val="28"/>
        </w:rPr>
        <w:fldChar w:fldCharType="separate"/>
      </w:r>
      <w:r>
        <w:rPr>
          <w:rFonts w:hint="eastAsia" w:ascii="仿宋" w:hAnsi="仿宋" w:eastAsia="仿宋" w:cs="仿宋"/>
          <w:b w:val="0"/>
          <w:bCs w:val="0"/>
          <w:color w:val="auto"/>
          <w:sz w:val="28"/>
          <w:szCs w:val="28"/>
        </w:rPr>
        <w:t>油类</w:t>
      </w:r>
      <w:r>
        <w:rPr>
          <w:rFonts w:hint="eastAsia" w:ascii="仿宋" w:hAnsi="仿宋" w:eastAsia="仿宋" w:cs="仿宋"/>
          <w:b w:val="0"/>
          <w:bCs w:val="0"/>
          <w:color w:val="auto"/>
          <w:sz w:val="28"/>
          <w:szCs w:val="28"/>
        </w:rPr>
        <w:fldChar w:fldCharType="end"/>
      </w:r>
      <w:bookmarkEnd w:id="8"/>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任何类型的油及其炼制品。</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outlineLvl w:val="2"/>
        <w:rPr>
          <w:rFonts w:hint="eastAsia" w:ascii="仿宋" w:hAnsi="仿宋" w:eastAsia="仿宋" w:cs="仿宋"/>
          <w:b w:val="0"/>
          <w:bCs w:val="0"/>
          <w:color w:val="auto"/>
          <w:sz w:val="28"/>
          <w:szCs w:val="28"/>
        </w:rPr>
      </w:pPr>
      <w:bookmarkStart w:id="9" w:name="_Toc27641"/>
      <w:r>
        <w:rPr>
          <w:rFonts w:hint="eastAsia" w:ascii="仿宋" w:hAnsi="仿宋" w:eastAsia="仿宋" w:cs="仿宋"/>
          <w:b w:val="0"/>
          <w:bCs w:val="0"/>
          <w:color w:val="auto"/>
          <w:sz w:val="28"/>
          <w:szCs w:val="28"/>
          <w:lang w:val="en-US" w:eastAsia="zh-CN"/>
        </w:rPr>
        <w:t xml:space="preserve">1.3.2 </w:t>
      </w:r>
      <w:r>
        <w:rPr>
          <w:rFonts w:hint="eastAsia" w:ascii="仿宋" w:hAnsi="仿宋" w:eastAsia="仿宋" w:cs="仿宋"/>
          <w:b w:val="0"/>
          <w:bCs w:val="0"/>
          <w:color w:val="auto"/>
          <w:sz w:val="28"/>
          <w:szCs w:val="28"/>
        </w:rPr>
        <w:t>持久性油类</w:t>
      </w:r>
      <w:bookmarkEnd w:id="9"/>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任何持久性烃类矿物油，例如原油、燃油、重柴油和润滑油等。持久性油类一经流入水域，即能形成一层油膜长期地存留在水面上，且能被风及水流所形成的表层流带到远处，在海岸造成集积，不易分解及氧化。</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outlineLvl w:val="2"/>
        <w:rPr>
          <w:rFonts w:hint="eastAsia" w:ascii="仿宋" w:hAnsi="仿宋" w:eastAsia="仿宋" w:cs="仿宋"/>
          <w:b w:val="0"/>
          <w:bCs w:val="0"/>
          <w:color w:val="auto"/>
          <w:sz w:val="28"/>
          <w:szCs w:val="28"/>
        </w:rPr>
      </w:pPr>
      <w:bookmarkStart w:id="10" w:name="_Toc10896"/>
      <w:r>
        <w:rPr>
          <w:rFonts w:hint="eastAsia" w:ascii="仿宋" w:hAnsi="仿宋" w:eastAsia="仿宋" w:cs="仿宋"/>
          <w:b w:val="0"/>
          <w:bCs w:val="0"/>
          <w:color w:val="auto"/>
          <w:sz w:val="28"/>
          <w:szCs w:val="28"/>
        </w:rPr>
        <w:t>1.3.3</w:t>
      </w:r>
      <w:r>
        <w:rPr>
          <w:rFonts w:hint="eastAsia" w:ascii="仿宋" w:hAnsi="仿宋" w:eastAsia="仿宋" w:cs="仿宋"/>
          <w:b w:val="0"/>
          <w:bCs w:val="0"/>
          <w:color w:val="auto"/>
          <w:sz w:val="28"/>
          <w:szCs w:val="28"/>
          <w:lang w:val="en-US" w:eastAsia="zh-CN"/>
        </w:rPr>
        <w:t xml:space="preserve"> </w:t>
      </w:r>
      <w:r>
        <w:rPr>
          <w:rFonts w:hint="eastAsia" w:ascii="仿宋" w:hAnsi="仿宋" w:eastAsia="仿宋" w:cs="仿宋"/>
          <w:b w:val="0"/>
          <w:bCs w:val="0"/>
          <w:color w:val="auto"/>
          <w:sz w:val="28"/>
          <w:szCs w:val="28"/>
        </w:rPr>
        <w:t>非持久性油类</w:t>
      </w:r>
      <w:bookmarkEnd w:id="10"/>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是指持久性油类以外的任何油类，例如汽油、轻质柴油、航空煤油、轻质原油等。</w:t>
      </w:r>
    </w:p>
    <w:p>
      <w:pPr>
        <w:keepLines w:val="0"/>
        <w:pageBreakBefore w:val="0"/>
        <w:widowControl/>
        <w:numPr>
          <w:ilvl w:val="0"/>
          <w:numId w:val="0"/>
        </w:numPr>
        <w:kinsoku/>
        <w:wordWrap/>
        <w:overflowPunct/>
        <w:topLinePunct w:val="0"/>
        <w:autoSpaceDE/>
        <w:autoSpaceDN/>
        <w:bidi w:val="0"/>
        <w:adjustRightInd/>
        <w:snapToGrid/>
        <w:spacing w:before="50" w:after="50" w:line="360" w:lineRule="auto"/>
        <w:ind w:right="0" w:rightChars="0" w:firstLine="562" w:firstLineChars="200"/>
        <w:textAlignment w:val="auto"/>
        <w:outlineLvl w:val="1"/>
        <w:rPr>
          <w:rFonts w:hint="eastAsia" w:ascii="仿宋" w:hAnsi="仿宋" w:eastAsia="仿宋" w:cs="仿宋"/>
          <w:b/>
          <w:bCs/>
          <w:color w:val="auto"/>
          <w:sz w:val="28"/>
          <w:szCs w:val="28"/>
          <w:lang w:val="en-US" w:eastAsia="zh-CN"/>
        </w:rPr>
      </w:pPr>
      <w:bookmarkStart w:id="11" w:name="_Toc4991"/>
      <w:r>
        <w:rPr>
          <w:rFonts w:hint="eastAsia" w:ascii="仿宋" w:hAnsi="仿宋" w:eastAsia="仿宋" w:cs="仿宋"/>
          <w:b/>
          <w:bCs/>
          <w:color w:val="auto"/>
          <w:sz w:val="28"/>
          <w:szCs w:val="28"/>
          <w:lang w:val="en-US" w:eastAsia="zh-CN"/>
        </w:rPr>
        <w:t>1.4 职责</w:t>
      </w:r>
      <w:bookmarkEnd w:id="11"/>
    </w:p>
    <w:p>
      <w:pPr>
        <w:adjustRightInd w:val="0"/>
        <w:snapToGrid w:val="0"/>
        <w:spacing w:line="360" w:lineRule="auto"/>
        <w:ind w:firstLine="560" w:firstLineChars="200"/>
        <w:rPr>
          <w:rFonts w:hint="eastAsia" w:ascii="仿宋" w:hAnsi="仿宋" w:eastAsia="仿宋"/>
          <w:color w:val="auto"/>
          <w:sz w:val="28"/>
          <w:szCs w:val="28"/>
          <w:lang w:val="en-US" w:eastAsia="zh-CN"/>
        </w:rPr>
      </w:pPr>
      <w:r>
        <w:rPr>
          <w:rFonts w:hint="eastAsia" w:ascii="仿宋" w:hAnsi="仿宋" w:eastAsia="仿宋"/>
          <w:color w:val="auto"/>
          <w:sz w:val="28"/>
          <w:szCs w:val="28"/>
          <w:lang w:eastAsia="zh-CN"/>
        </w:rPr>
        <w:t>本公司</w:t>
      </w:r>
      <w:r>
        <w:rPr>
          <w:rFonts w:hint="eastAsia" w:ascii="仿宋" w:hAnsi="仿宋" w:eastAsia="仿宋"/>
          <w:color w:val="auto"/>
          <w:sz w:val="28"/>
          <w:szCs w:val="28"/>
        </w:rPr>
        <w:t>设立船舶污染事故应急指挥</w:t>
      </w:r>
      <w:r>
        <w:rPr>
          <w:rFonts w:hint="eastAsia" w:ascii="仿宋" w:hAnsi="仿宋" w:eastAsia="仿宋"/>
          <w:color w:val="auto"/>
          <w:sz w:val="28"/>
          <w:szCs w:val="28"/>
          <w:lang w:eastAsia="zh-CN"/>
        </w:rPr>
        <w:t>中心</w:t>
      </w:r>
      <w:r>
        <w:rPr>
          <w:rFonts w:hint="eastAsia" w:ascii="仿宋" w:hAnsi="仿宋" w:eastAsia="仿宋"/>
          <w:color w:val="auto"/>
          <w:sz w:val="28"/>
          <w:szCs w:val="28"/>
        </w:rPr>
        <w:t>，负责组织实施本方案。</w:t>
      </w:r>
    </w:p>
    <w:p>
      <w:pPr>
        <w:pStyle w:val="2"/>
        <w:numPr>
          <w:ilvl w:val="0"/>
          <w:numId w:val="0"/>
        </w:numPr>
        <w:spacing w:before="1" w:line="360" w:lineRule="auto"/>
        <w:ind w:right="0" w:rightChars="0" w:firstLine="562" w:firstLineChars="200"/>
        <w:jc w:val="both"/>
        <w:outlineLvl w:val="0"/>
        <w:rPr>
          <w:rFonts w:hint="eastAsia" w:ascii="仿宋" w:hAnsi="仿宋" w:eastAsia="仿宋" w:cs="仿宋"/>
          <w:b/>
          <w:bCs/>
          <w:color w:val="auto"/>
          <w:sz w:val="28"/>
          <w:szCs w:val="28"/>
          <w:lang w:eastAsia="zh-CN"/>
        </w:rPr>
      </w:pPr>
      <w:bookmarkStart w:id="12" w:name="_Toc28579"/>
      <w:r>
        <w:rPr>
          <w:rFonts w:hint="eastAsia" w:ascii="仿宋" w:hAnsi="仿宋" w:eastAsia="仿宋" w:cs="仿宋"/>
          <w:b/>
          <w:bCs/>
          <w:color w:val="auto"/>
          <w:sz w:val="28"/>
          <w:szCs w:val="28"/>
          <w:lang w:val="en-US" w:eastAsia="zh-CN"/>
        </w:rPr>
        <w:t>2、</w:t>
      </w:r>
      <w:r>
        <w:rPr>
          <w:rFonts w:hint="eastAsia" w:ascii="仿宋" w:hAnsi="仿宋" w:eastAsia="仿宋" w:cs="仿宋"/>
          <w:b/>
          <w:bCs/>
          <w:color w:val="auto"/>
          <w:sz w:val="28"/>
          <w:szCs w:val="28"/>
        </w:rPr>
        <w:t>溢油应急服务区域</w:t>
      </w:r>
      <w:r>
        <w:rPr>
          <w:rFonts w:hint="eastAsia" w:ascii="仿宋" w:hAnsi="仿宋" w:eastAsia="仿宋" w:cs="仿宋"/>
          <w:b/>
          <w:bCs/>
          <w:color w:val="auto"/>
          <w:sz w:val="28"/>
          <w:szCs w:val="28"/>
          <w:lang w:eastAsia="zh-CN"/>
        </w:rPr>
        <w:t>概况</w:t>
      </w:r>
      <w:bookmarkEnd w:id="12"/>
    </w:p>
    <w:p>
      <w:pPr>
        <w:pStyle w:val="2"/>
        <w:numPr>
          <w:ilvl w:val="0"/>
          <w:numId w:val="0"/>
        </w:numPr>
        <w:spacing w:before="1" w:line="360" w:lineRule="auto"/>
        <w:ind w:right="0" w:rightChars="0" w:firstLine="562" w:firstLineChars="200"/>
        <w:jc w:val="both"/>
        <w:rPr>
          <w:rFonts w:hint="eastAsia" w:ascii="仿宋" w:hAnsi="仿宋" w:eastAsia="仿宋" w:cs="仿宋"/>
          <w:color w:val="auto"/>
          <w:sz w:val="28"/>
          <w:szCs w:val="28"/>
        </w:rPr>
      </w:pPr>
      <w:bookmarkStart w:id="13" w:name="_Toc18145"/>
      <w:r>
        <w:rPr>
          <w:rFonts w:hint="eastAsia" w:ascii="仿宋" w:hAnsi="仿宋" w:eastAsia="仿宋" w:cs="仿宋"/>
          <w:color w:val="auto"/>
          <w:sz w:val="28"/>
          <w:szCs w:val="28"/>
          <w:lang w:val="en-US" w:eastAsia="zh-CN"/>
        </w:rPr>
        <w:t xml:space="preserve">2.1 </w:t>
      </w:r>
      <w:r>
        <w:rPr>
          <w:rFonts w:hint="eastAsia" w:ascii="仿宋" w:hAnsi="仿宋" w:eastAsia="仿宋" w:cs="仿宋"/>
          <w:color w:val="auto"/>
          <w:sz w:val="28"/>
          <w:szCs w:val="28"/>
        </w:rPr>
        <w:t>地理位置</w:t>
      </w:r>
      <w:bookmarkEnd w:id="13"/>
    </w:p>
    <w:p>
      <w:pPr>
        <w:spacing w:line="360" w:lineRule="auto"/>
        <w:ind w:firstLine="560" w:firstLineChars="200"/>
        <w:rPr>
          <w:rFonts w:hint="eastAsia" w:ascii="仿宋" w:hAnsi="仿宋" w:eastAsia="仿宋" w:cs="仿宋"/>
          <w:sz w:val="28"/>
          <w:szCs w:val="28"/>
        </w:rPr>
      </w:pPr>
      <w:bookmarkStart w:id="14" w:name="_Toc5080"/>
      <w:r>
        <w:rPr>
          <w:rFonts w:hint="eastAsia" w:ascii="仿宋" w:hAnsi="仿宋" w:eastAsia="仿宋" w:cs="仿宋"/>
          <w:sz w:val="28"/>
          <w:szCs w:val="28"/>
        </w:rPr>
        <w:t>台州市位于浙江中部沿海，北接宁波，西连金华、丽水，南邻温州，东濒东海，自北向南分布有三门湾、台州湾和乐清湾等大型海湾，为港口建设提供了较好的资源条件。</w:t>
      </w:r>
    </w:p>
    <w:p>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台州港地理坐标为28°41′N，121°27′E（海门港区），国内航路向北至宁波港142海里、上海港234海里、秦皇岛港800海里，向南至福州港264海里。近洋航线中，距台湾、韩国、日本、香港在400～800海里。</w:t>
      </w:r>
    </w:p>
    <w:p>
      <w:pPr>
        <w:pStyle w:val="7"/>
        <w:spacing w:before="1" w:line="360" w:lineRule="auto"/>
        <w:ind w:right="342" w:firstLine="562" w:firstLineChars="200"/>
        <w:jc w:val="both"/>
        <w:outlineLvl w:val="1"/>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2.2 港区分布及概况</w:t>
      </w:r>
      <w:bookmarkEnd w:id="14"/>
    </w:p>
    <w:p>
      <w:pPr>
        <w:pStyle w:val="7"/>
        <w:spacing w:before="1" w:line="360" w:lineRule="auto"/>
        <w:ind w:right="342" w:firstLine="560" w:firstLineChars="200"/>
        <w:jc w:val="both"/>
        <w:rPr>
          <w:rFonts w:hint="eastAsia" w:ascii="仿宋" w:hAnsi="仿宋" w:eastAsia="仿宋" w:cs="仿宋"/>
          <w:color w:val="auto"/>
          <w:spacing w:val="-6"/>
          <w:sz w:val="28"/>
          <w:szCs w:val="28"/>
          <w:lang w:eastAsia="zh-CN"/>
        </w:rPr>
      </w:pPr>
      <w:r>
        <w:rPr>
          <w:rFonts w:hint="eastAsia" w:ascii="仿宋" w:hAnsi="仿宋" w:eastAsia="仿宋" w:cs="仿宋"/>
          <w:color w:val="auto"/>
          <w:sz w:val="28"/>
          <w:szCs w:val="28"/>
          <w:lang w:val="en-US" w:eastAsia="zh-CN"/>
        </w:rPr>
        <w:t>台州港海岸线漫长，水域南北相距约160千米。</w:t>
      </w:r>
      <w:r>
        <w:rPr>
          <w:rFonts w:hint="eastAsia" w:ascii="仿宋" w:hAnsi="仿宋" w:eastAsia="仿宋" w:cs="仿宋"/>
          <w:color w:val="auto"/>
          <w:spacing w:val="-6"/>
          <w:sz w:val="28"/>
          <w:szCs w:val="28"/>
        </w:rPr>
        <w:t>由六个港区组成，由北向南依次是健跳港区、</w:t>
      </w:r>
      <w:r>
        <w:rPr>
          <w:rFonts w:hint="eastAsia" w:ascii="仿宋" w:hAnsi="仿宋" w:eastAsia="仿宋" w:cs="仿宋"/>
          <w:color w:val="auto"/>
          <w:spacing w:val="-6"/>
          <w:sz w:val="28"/>
          <w:szCs w:val="28"/>
          <w:lang w:eastAsia="zh-CN"/>
        </w:rPr>
        <w:t>头门</w:t>
      </w:r>
      <w:r>
        <w:rPr>
          <w:rFonts w:hint="eastAsia" w:ascii="仿宋" w:hAnsi="仿宋" w:eastAsia="仿宋" w:cs="仿宋"/>
          <w:color w:val="auto"/>
          <w:spacing w:val="-6"/>
          <w:sz w:val="28"/>
          <w:szCs w:val="28"/>
        </w:rPr>
        <w:t>港区、黄岩港区、海门港区、温岭港区和大麦屿港区</w:t>
      </w:r>
      <w:r>
        <w:rPr>
          <w:rFonts w:hint="eastAsia" w:ascii="仿宋" w:hAnsi="仿宋" w:eastAsia="仿宋" w:cs="仿宋"/>
          <w:color w:val="auto"/>
          <w:spacing w:val="-6"/>
          <w:sz w:val="28"/>
          <w:szCs w:val="28"/>
          <w:lang w:eastAsia="zh-CN"/>
        </w:rPr>
        <w:t>。</w:t>
      </w:r>
    </w:p>
    <w:p>
      <w:pPr>
        <w:pStyle w:val="7"/>
        <w:spacing w:before="0" w:line="360" w:lineRule="auto"/>
        <w:ind w:right="0" w:firstLine="560" w:firstLineChars="200"/>
        <w:jc w:val="both"/>
        <w:rPr>
          <w:rFonts w:hint="eastAsia" w:ascii="仿宋" w:hAnsi="仿宋" w:eastAsia="仿宋" w:cs="仿宋"/>
          <w:b w:val="0"/>
          <w:bCs/>
          <w:color w:val="auto"/>
          <w:sz w:val="28"/>
          <w:szCs w:val="28"/>
          <w:lang w:val="en-US" w:eastAsia="zh-CN"/>
        </w:rPr>
      </w:pPr>
      <w:r>
        <w:rPr>
          <w:rFonts w:hint="eastAsia" w:ascii="仿宋" w:hAnsi="仿宋" w:eastAsia="仿宋" w:cs="仿宋"/>
          <w:b w:val="0"/>
          <w:bCs/>
          <w:color w:val="auto"/>
          <w:sz w:val="28"/>
          <w:szCs w:val="28"/>
          <w:lang w:val="en-US" w:eastAsia="zh-CN"/>
        </w:rPr>
        <w:t xml:space="preserve">2.2.1 </w:t>
      </w:r>
      <w:r>
        <w:rPr>
          <w:rFonts w:hint="eastAsia" w:ascii="仿宋" w:hAnsi="仿宋" w:eastAsia="仿宋" w:cs="仿宋"/>
          <w:b w:val="0"/>
          <w:bCs/>
          <w:color w:val="auto"/>
          <w:sz w:val="28"/>
          <w:szCs w:val="28"/>
          <w:lang w:eastAsia="zh-CN"/>
        </w:rPr>
        <w:t>海门港区位于台州湾西侧的椒江口处，系河口型海港，形如咽喉。港区呈东西走向，底质大部分为泥沙，水深一般2米～7米。主航道最宽处在港务局码头与前所轮渡码头之间，宽约6.2链；最窄处在牛头颈与小园山之间，宽约4.3链。海门港区是浅水港，港口东部航道（1号灯浮至老鼠曲）水深仅2.2米～3米，故目前150吨船舶可随时进出，150吨～300吨级船舶需候潮进出，5000吨级和浅吃水万吨级货轮经过驳减载后可候潮进出。</w:t>
      </w:r>
      <w:r>
        <w:rPr>
          <w:rFonts w:hint="eastAsia" w:ascii="仿宋" w:hAnsi="仿宋" w:eastAsia="仿宋" w:cs="仿宋"/>
          <w:b w:val="0"/>
          <w:bCs/>
          <w:color w:val="auto"/>
          <w:sz w:val="28"/>
          <w:szCs w:val="28"/>
          <w:lang w:val="en-US" w:eastAsia="zh-CN"/>
        </w:rPr>
        <w:t xml:space="preserve">      </w:t>
      </w:r>
    </w:p>
    <w:p>
      <w:pPr>
        <w:spacing w:line="360" w:lineRule="auto"/>
        <w:ind w:firstLine="560" w:firstLineChars="200"/>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lang w:eastAsia="zh-CN"/>
        </w:rPr>
        <w:t>椒江是灵江、永宁江在三江口汇合而成。椒江航道较直，东西走向，水深2米～10米，在西部有一浅滩，纵卧江中，将港内航道分成南北两条，南支航道通永宁江，水深2米～6米；北支航道通灵江，其东段较浅，最浅仅1米，港内均为泥沙底。灵江作业区位于灵江，至三江口全长22海里，宽200米～1000米，水深0.5米～10米，多江心岛及江心沙滩，主要江心岛滩有庄头沙、沙头、沙渚以及江下渚、拦门浅滩等，航道经常变迁。30吨～50吨商船可沿凹岸一侧航行。临海以东有一大田河，可通航小船。</w:t>
      </w:r>
    </w:p>
    <w:p>
      <w:pPr>
        <w:pStyle w:val="6"/>
        <w:bidi w:val="0"/>
        <w:spacing w:before="0" w:after="0" w:line="360" w:lineRule="auto"/>
        <w:ind w:firstLine="536" w:firstLineChars="200"/>
        <w:jc w:val="both"/>
        <w:rPr>
          <w:rFonts w:hint="default" w:ascii="仿宋" w:hAnsi="仿宋" w:eastAsia="仿宋" w:cs="仿宋"/>
          <w:b w:val="0"/>
          <w:bCs/>
          <w:color w:val="auto"/>
          <w:sz w:val="28"/>
          <w:szCs w:val="28"/>
          <w:lang w:val="en-US" w:eastAsia="zh-CN"/>
        </w:rPr>
      </w:pPr>
      <w:r>
        <w:rPr>
          <w:rFonts w:hint="eastAsia" w:ascii="仿宋" w:hAnsi="仿宋" w:eastAsia="仿宋" w:cs="仿宋"/>
          <w:b w:val="0"/>
          <w:bCs/>
          <w:color w:val="auto"/>
          <w:spacing w:val="-6"/>
          <w:sz w:val="28"/>
          <w:szCs w:val="28"/>
          <w:lang w:val="en-US" w:eastAsia="zh-CN"/>
        </w:rPr>
        <w:t xml:space="preserve">2.2.2 </w:t>
      </w:r>
      <w:r>
        <w:rPr>
          <w:rFonts w:hint="eastAsia" w:ascii="仿宋" w:hAnsi="仿宋" w:eastAsia="仿宋" w:cs="仿宋"/>
          <w:b w:val="0"/>
          <w:bCs/>
          <w:color w:val="auto"/>
          <w:spacing w:val="-6"/>
          <w:sz w:val="28"/>
          <w:szCs w:val="28"/>
          <w:lang w:eastAsia="zh-CN"/>
        </w:rPr>
        <w:t>头门港区位于头门岛，是台州港的核心港区，近期以承接海门港区货运功能转移和服务临港工业发展为主，远期发展为集散功能强、临港工业发达的综合性港区，以集装箱、干散货和液体散货运输为主，是台州市实施沿海战略，发展临港工业的主要依托。</w:t>
      </w:r>
    </w:p>
    <w:p>
      <w:pPr>
        <w:pStyle w:val="7"/>
        <w:spacing w:before="1" w:line="360" w:lineRule="auto"/>
        <w:ind w:right="342" w:firstLine="560" w:firstLineChars="200"/>
        <w:jc w:val="both"/>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2.2.3 </w:t>
      </w:r>
      <w:r>
        <w:rPr>
          <w:rFonts w:hint="default" w:ascii="仿宋" w:hAnsi="仿宋" w:eastAsia="仿宋" w:cs="仿宋"/>
          <w:color w:val="auto"/>
          <w:sz w:val="28"/>
          <w:szCs w:val="28"/>
          <w:lang w:val="en-US" w:eastAsia="zh-CN"/>
        </w:rPr>
        <w:t>黄岩港区位于永宁江，港区至三江口全长9海里，宽150米～500米，水深1.5米～7米，航道弯曲，除弯曲处突出岸有泥滩外，很少有江心沙滩。30吨小船可沿凹岸一侧航行。</w:t>
      </w:r>
    </w:p>
    <w:p>
      <w:pPr>
        <w:pStyle w:val="7"/>
        <w:spacing w:before="1" w:line="360" w:lineRule="auto"/>
        <w:ind w:right="342" w:firstLine="560" w:firstLineChars="200"/>
        <w:jc w:val="both"/>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2.2.4 </w:t>
      </w:r>
      <w:r>
        <w:rPr>
          <w:rFonts w:hint="default" w:ascii="仿宋" w:hAnsi="仿宋" w:eastAsia="仿宋" w:cs="仿宋"/>
          <w:color w:val="auto"/>
          <w:sz w:val="28"/>
          <w:szCs w:val="28"/>
          <w:lang w:val="en-US" w:eastAsia="zh-CN"/>
        </w:rPr>
        <w:t>健跳港区位于三门湾西侧的健跳江内，是一个为三门电力城发展服务，以能源运输为主、兼顾件杂货运输的专业性港口。健跳江呈西南至东北走向，江道弯曲狭长，两岸多高山环抱。自江口上溯至风凰山，全长约8海里，海岸线长34千米，宽度约300米～500米，最狭窄处为黄门峡，约170米；江内多为泥沙底，一般水深3.6米～10米，最深处49米吃水3米以下船舶不受潮水限制，可随时进出，万吨级船舶需候潮进出。</w:t>
      </w:r>
    </w:p>
    <w:p>
      <w:pPr>
        <w:pStyle w:val="7"/>
        <w:spacing w:before="1" w:line="360" w:lineRule="auto"/>
        <w:ind w:right="342" w:firstLine="560" w:firstLineChars="200"/>
        <w:jc w:val="both"/>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2.2.5 </w:t>
      </w:r>
      <w:r>
        <w:rPr>
          <w:rFonts w:hint="default" w:ascii="仿宋" w:hAnsi="仿宋" w:eastAsia="仿宋" w:cs="仿宋"/>
          <w:color w:val="auto"/>
          <w:sz w:val="28"/>
          <w:szCs w:val="28"/>
          <w:lang w:val="en-US" w:eastAsia="zh-CN"/>
        </w:rPr>
        <w:t>温岭港区位于温岭市东部、东南部沿海及乐清湾北部。主要有龙门、永安、石塘、沙山作业区。温岭港区以满足温岭市当地经济发展所需的生产、生活物资运输为主，结合建港自然条件，重点建设中小型件杂货和通用码头泊位。</w:t>
      </w:r>
    </w:p>
    <w:p>
      <w:pPr>
        <w:pStyle w:val="7"/>
        <w:spacing w:before="1" w:line="360" w:lineRule="auto"/>
        <w:ind w:right="342" w:firstLine="560" w:firstLineChars="200"/>
        <w:jc w:val="both"/>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2.2.6 </w:t>
      </w:r>
      <w:r>
        <w:rPr>
          <w:rFonts w:hint="default" w:ascii="仿宋" w:hAnsi="仿宋" w:eastAsia="仿宋" w:cs="仿宋"/>
          <w:color w:val="auto"/>
          <w:sz w:val="28"/>
          <w:szCs w:val="28"/>
          <w:lang w:val="en-US" w:eastAsia="zh-CN"/>
        </w:rPr>
        <w:t>大麦屿港区位于乐清湾内，西南临温州港，东依玉环岛，航道水深12米以上，港内防风浪性能良好，是宁波至厦门间的天然深水良港，自然条件得天独厚。该港区为新开发港口，目前正在规划建设中，是个以发展能源、石油等大型工业基地建设，以及大宗散货水运中转为主的多功能、综合性深水港口。</w:t>
      </w:r>
    </w:p>
    <w:p>
      <w:pPr>
        <w:spacing w:line="360" w:lineRule="auto"/>
        <w:ind w:firstLine="562" w:firstLineChars="200"/>
        <w:jc w:val="both"/>
        <w:outlineLvl w:val="1"/>
        <w:rPr>
          <w:rFonts w:hint="eastAsia" w:ascii="仿宋" w:hAnsi="仿宋" w:eastAsia="仿宋" w:cs="仿宋"/>
          <w:b/>
          <w:bCs/>
          <w:color w:val="auto"/>
          <w:sz w:val="28"/>
          <w:szCs w:val="28"/>
          <w:lang w:val="en-US" w:eastAsia="zh-CN"/>
        </w:rPr>
      </w:pPr>
      <w:bookmarkStart w:id="15" w:name="_Toc13259"/>
      <w:r>
        <w:rPr>
          <w:rFonts w:hint="eastAsia" w:ascii="仿宋" w:hAnsi="仿宋" w:eastAsia="仿宋" w:cs="仿宋"/>
          <w:b/>
          <w:bCs/>
          <w:color w:val="auto"/>
          <w:sz w:val="28"/>
          <w:szCs w:val="28"/>
          <w:lang w:val="en-US" w:eastAsia="zh-CN"/>
        </w:rPr>
        <w:t>2.3 水文气象</w:t>
      </w:r>
      <w:bookmarkEnd w:id="15"/>
    </w:p>
    <w:p>
      <w:pPr>
        <w:spacing w:line="360" w:lineRule="auto"/>
        <w:ind w:firstLine="560" w:firstLineChars="2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台州地区属亚热带季风气候，深受季风环流的影响，夏无酷暑，冬无严寒，四季分明，冬、夏长，春、秋短，气候温暖湿润，雨量充沛，光照充足。由于各港区所处地理位置及地形不同，水文气象要素略有差异。</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2.3.1 </w:t>
      </w:r>
      <w:r>
        <w:rPr>
          <w:rFonts w:hint="default" w:ascii="仿宋" w:hAnsi="仿宋" w:eastAsia="仿宋" w:cs="仿宋"/>
          <w:b/>
          <w:bCs/>
          <w:color w:val="auto"/>
          <w:sz w:val="28"/>
          <w:szCs w:val="28"/>
          <w:lang w:val="en-US" w:eastAsia="zh-CN"/>
        </w:rPr>
        <w:t xml:space="preserve">潮汐 </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台州沿海属于我国强潮海域，大多数海域、港湾的潮汐性质为正规半日潮，乐清湾内茅延岛的海山（大岙）、椒江口沙山附近水域则为不正规半日潮。河口、海湾水域受地形影响，潮波变形显著；水深小于潮差时潮波变形剧烈，接近驻波；浅海分潮明显，河口区和海湾区潮差较大，且从湾口到湾顶逐步增加。乐清湾的江厦站最大潮差达8.53米，平均潮差5.17米。</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此外，台州港是受风暴潮威胁较严重的海域，台风增水影响明显。危害性风暴潮多发生在台风过境与天文大潮相遇时，引起强降雨和高增水。1997年第11号台风正面袭击台州市，正值农历八月十五天文大潮，高潮位与强暴雨叠加，导致沿海潮位均超过历史最高潮位，椒江海门港区潮位达7.5米，健跳港区潮位达7.45米。</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2.3.2 </w:t>
      </w:r>
      <w:r>
        <w:rPr>
          <w:rFonts w:hint="default" w:ascii="仿宋" w:hAnsi="仿宋" w:eastAsia="仿宋" w:cs="仿宋"/>
          <w:b/>
          <w:bCs/>
          <w:color w:val="auto"/>
          <w:sz w:val="28"/>
          <w:szCs w:val="28"/>
          <w:lang w:val="en-US" w:eastAsia="zh-CN"/>
        </w:rPr>
        <w:t xml:space="preserve">潮流 </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台州港为强潮海区，潮流动力较强，湾内河口以往复流为主，少数海域有一定的旋转流的特征。椒江口的落潮流历时大于涨潮流历时，涨潮流速大于落潮流速，大潮流速大于小潮流速；牛头颈东方附近，涨潮流为西北流，流速4.1节；落潮流为东流，流速3.6节；其他水域涨潮流流速一般为2节，落潮流的最大流速可达6节；特大洪水时，该港区无涨潮流，落潮流最大流速可达6节；转流时间始于高、低潮后30分钟～40分钟；流时间为5分钟～8分钟。乐清湾（玉环岛大麦屿港区附近）和健跳港区则是淋潮流历时大于落潮流历时，落潮流速大于涨潮流速。</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2.3.3 </w:t>
      </w:r>
      <w:r>
        <w:rPr>
          <w:rFonts w:hint="default" w:ascii="仿宋" w:hAnsi="仿宋" w:eastAsia="仿宋" w:cs="仿宋"/>
          <w:b/>
          <w:bCs/>
          <w:color w:val="auto"/>
          <w:sz w:val="28"/>
          <w:szCs w:val="28"/>
          <w:lang w:val="en-US" w:eastAsia="zh-CN"/>
        </w:rPr>
        <w:t xml:space="preserve">风 </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该海区风向变化明显，盛行风向随季节转换。春季多东风，夏季盛行偏南风，秋季和冬季以偏北风为主。大风多数发生在7月－9月台风季节，少数为冬春冷空气或气旋活动所致。</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2.3.4 </w:t>
      </w:r>
      <w:r>
        <w:rPr>
          <w:rFonts w:hint="default" w:ascii="仿宋" w:hAnsi="仿宋" w:eastAsia="仿宋" w:cs="仿宋"/>
          <w:b/>
          <w:bCs/>
          <w:color w:val="auto"/>
          <w:sz w:val="28"/>
          <w:szCs w:val="28"/>
          <w:lang w:val="en-US" w:eastAsia="zh-CN"/>
        </w:rPr>
        <w:t xml:space="preserve">热带风暴 </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eastAsia"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本海区为台风多发区，台风影响主要集中在7月－9月，台风最早出现在5月，最迟11月，</w:t>
      </w:r>
      <w:r>
        <w:rPr>
          <w:rFonts w:hint="eastAsia" w:ascii="仿宋" w:hAnsi="仿宋" w:eastAsia="仿宋" w:cs="仿宋"/>
          <w:b w:val="0"/>
          <w:bCs w:val="0"/>
          <w:color w:val="auto"/>
          <w:sz w:val="28"/>
          <w:szCs w:val="28"/>
          <w:lang w:val="en-US" w:eastAsia="zh-CN"/>
        </w:rPr>
        <w:t>影响台州的热带风暴、台风年均1.8次，</w:t>
      </w:r>
      <w:r>
        <w:rPr>
          <w:rFonts w:hint="eastAsia" w:ascii="仿宋" w:hAnsi="仿宋" w:eastAsia="仿宋" w:cs="仿宋"/>
          <w:sz w:val="28"/>
          <w:szCs w:val="28"/>
          <w:lang w:val="en-US" w:eastAsia="zh-CN"/>
        </w:rPr>
        <w:t>影响持续时间平均3.4天，最长5天，</w:t>
      </w:r>
      <w:r>
        <w:rPr>
          <w:rFonts w:hint="default" w:ascii="仿宋" w:hAnsi="仿宋" w:eastAsia="仿宋" w:cs="仿宋"/>
          <w:b w:val="0"/>
          <w:bCs w:val="0"/>
          <w:color w:val="auto"/>
          <w:sz w:val="28"/>
          <w:szCs w:val="28"/>
          <w:lang w:val="en-US" w:eastAsia="zh-CN"/>
        </w:rPr>
        <w:t>受其影响时多为东北风</w:t>
      </w:r>
      <w:r>
        <w:rPr>
          <w:rFonts w:hint="eastAsia" w:ascii="仿宋" w:hAnsi="仿宋" w:eastAsia="仿宋" w:cs="仿宋"/>
          <w:b w:val="0"/>
          <w:bCs w:val="0"/>
          <w:color w:val="auto"/>
          <w:sz w:val="28"/>
          <w:szCs w:val="28"/>
          <w:lang w:val="en-US" w:eastAsia="zh-CN"/>
        </w:rPr>
        <w:t>。2019年8月10日第9号台风“利奇马”</w:t>
      </w:r>
      <w:r>
        <w:rPr>
          <w:rFonts w:hint="default" w:ascii="仿宋" w:hAnsi="仿宋" w:eastAsia="仿宋" w:cs="仿宋"/>
          <w:b w:val="0"/>
          <w:bCs w:val="0"/>
          <w:color w:val="auto"/>
          <w:sz w:val="28"/>
          <w:szCs w:val="28"/>
          <w:lang w:val="en-US" w:eastAsia="zh-CN"/>
        </w:rPr>
        <w:t>在温岭</w:t>
      </w:r>
      <w:r>
        <w:rPr>
          <w:rFonts w:hint="eastAsia" w:ascii="仿宋" w:hAnsi="仿宋" w:eastAsia="仿宋" w:cs="仿宋"/>
          <w:b w:val="0"/>
          <w:bCs w:val="0"/>
          <w:color w:val="auto"/>
          <w:sz w:val="28"/>
          <w:szCs w:val="28"/>
          <w:lang w:val="en-US" w:eastAsia="zh-CN"/>
        </w:rPr>
        <w:t>城南镇</w:t>
      </w:r>
      <w:r>
        <w:rPr>
          <w:rFonts w:hint="default" w:ascii="仿宋" w:hAnsi="仿宋" w:eastAsia="仿宋" w:cs="仿宋"/>
          <w:b w:val="0"/>
          <w:bCs w:val="0"/>
          <w:color w:val="auto"/>
          <w:sz w:val="28"/>
          <w:szCs w:val="28"/>
          <w:lang w:val="en-US" w:eastAsia="zh-CN"/>
        </w:rPr>
        <w:t>登陆</w:t>
      </w:r>
      <w:r>
        <w:rPr>
          <w:rFonts w:hint="eastAsia" w:ascii="仿宋" w:hAnsi="仿宋" w:eastAsia="仿宋" w:cs="仿宋"/>
          <w:b w:val="0"/>
          <w:bCs w:val="0"/>
          <w:color w:val="auto"/>
          <w:sz w:val="28"/>
          <w:szCs w:val="28"/>
          <w:lang w:val="en-US" w:eastAsia="zh-CN"/>
        </w:rPr>
        <w:t>，</w:t>
      </w:r>
      <w:r>
        <w:rPr>
          <w:rFonts w:hint="eastAsia" w:ascii="仿宋" w:hAnsi="仿宋" w:eastAsia="仿宋" w:cs="仿宋"/>
          <w:i w:val="0"/>
          <w:caps w:val="0"/>
          <w:color w:val="auto"/>
          <w:spacing w:val="0"/>
          <w:sz w:val="28"/>
          <w:szCs w:val="28"/>
          <w:shd w:val="clear" w:fill="FFFFFF"/>
        </w:rPr>
        <w:t>登陆时强度为超强台风级（16级，52m/s），是2019年以来登陆中国的最强台风，也是1949年以来登陆浙江台风中第三强（仅次于2006年</w:t>
      </w:r>
      <w:r>
        <w:rPr>
          <w:rFonts w:hint="eastAsia" w:ascii="仿宋" w:hAnsi="仿宋" w:eastAsia="仿宋" w:cs="仿宋"/>
          <w:i w:val="0"/>
          <w:caps w:val="0"/>
          <w:color w:val="auto"/>
          <w:spacing w:val="0"/>
          <w:sz w:val="28"/>
          <w:szCs w:val="28"/>
          <w:u w:val="none"/>
          <w:shd w:val="clear" w:fill="FFFFFF"/>
        </w:rPr>
        <w:fldChar w:fldCharType="begin"/>
      </w:r>
      <w:r>
        <w:rPr>
          <w:rFonts w:hint="eastAsia" w:ascii="仿宋" w:hAnsi="仿宋" w:eastAsia="仿宋" w:cs="仿宋"/>
          <w:i w:val="0"/>
          <w:caps w:val="0"/>
          <w:color w:val="auto"/>
          <w:spacing w:val="0"/>
          <w:sz w:val="28"/>
          <w:szCs w:val="28"/>
          <w:u w:val="none"/>
          <w:shd w:val="clear" w:fill="FFFFFF"/>
        </w:rPr>
        <w:instrText xml:space="preserve"> HYPERLINK "https://baike.sogou.com/lemma/ShowInnerLink.htm?lemmaId=8093612&amp;ss_c=ssc.citiao.link" \t "https://baike.sogou.com/_blank" </w:instrText>
      </w:r>
      <w:r>
        <w:rPr>
          <w:rFonts w:hint="eastAsia" w:ascii="仿宋" w:hAnsi="仿宋" w:eastAsia="仿宋" w:cs="仿宋"/>
          <w:i w:val="0"/>
          <w:caps w:val="0"/>
          <w:color w:val="auto"/>
          <w:spacing w:val="0"/>
          <w:sz w:val="28"/>
          <w:szCs w:val="28"/>
          <w:u w:val="none"/>
          <w:shd w:val="clear" w:fill="FFFFFF"/>
        </w:rPr>
        <w:fldChar w:fldCharType="separate"/>
      </w:r>
      <w:r>
        <w:rPr>
          <w:rStyle w:val="18"/>
          <w:rFonts w:hint="eastAsia" w:ascii="仿宋" w:hAnsi="仿宋" w:eastAsia="仿宋" w:cs="仿宋"/>
          <w:i w:val="0"/>
          <w:caps w:val="0"/>
          <w:color w:val="auto"/>
          <w:spacing w:val="0"/>
          <w:sz w:val="28"/>
          <w:szCs w:val="28"/>
          <w:u w:val="none"/>
          <w:shd w:val="clear" w:fill="FFFFFF"/>
        </w:rPr>
        <w:t>台风桑美</w:t>
      </w:r>
      <w:r>
        <w:rPr>
          <w:rFonts w:hint="eastAsia" w:ascii="仿宋" w:hAnsi="仿宋" w:eastAsia="仿宋" w:cs="仿宋"/>
          <w:i w:val="0"/>
          <w:caps w:val="0"/>
          <w:color w:val="auto"/>
          <w:spacing w:val="0"/>
          <w:sz w:val="28"/>
          <w:szCs w:val="28"/>
          <w:u w:val="none"/>
          <w:shd w:val="clear" w:fill="FFFFFF"/>
        </w:rPr>
        <w:fldChar w:fldCharType="end"/>
      </w:r>
      <w:r>
        <w:rPr>
          <w:rFonts w:hint="eastAsia" w:ascii="仿宋" w:hAnsi="仿宋" w:eastAsia="仿宋" w:cs="仿宋"/>
          <w:i w:val="0"/>
          <w:caps w:val="0"/>
          <w:color w:val="auto"/>
          <w:spacing w:val="0"/>
          <w:sz w:val="28"/>
          <w:szCs w:val="28"/>
          <w:shd w:val="clear" w:fill="FFFFFF"/>
        </w:rPr>
        <w:t>和</w:t>
      </w:r>
      <w:r>
        <w:rPr>
          <w:rFonts w:hint="eastAsia" w:ascii="仿宋" w:hAnsi="仿宋" w:eastAsia="仿宋" w:cs="仿宋"/>
          <w:i w:val="0"/>
          <w:caps w:val="0"/>
          <w:color w:val="auto"/>
          <w:spacing w:val="0"/>
          <w:sz w:val="28"/>
          <w:szCs w:val="28"/>
          <w:u w:val="none"/>
          <w:shd w:val="clear" w:fill="FFFFFF"/>
        </w:rPr>
        <w:fldChar w:fldCharType="begin"/>
      </w:r>
      <w:r>
        <w:rPr>
          <w:rFonts w:hint="eastAsia" w:ascii="仿宋" w:hAnsi="仿宋" w:eastAsia="仿宋" w:cs="仿宋"/>
          <w:i w:val="0"/>
          <w:caps w:val="0"/>
          <w:color w:val="auto"/>
          <w:spacing w:val="0"/>
          <w:sz w:val="28"/>
          <w:szCs w:val="28"/>
          <w:u w:val="none"/>
          <w:shd w:val="clear" w:fill="FFFFFF"/>
        </w:rPr>
        <w:instrText xml:space="preserve"> HYPERLINK "https://baike.sogou.com/lemma/ShowInnerLink.htm?lemmaId=374016&amp;ss_c=ssc.citiao.link" \t "https://baike.sogou.com/_blank" </w:instrText>
      </w:r>
      <w:r>
        <w:rPr>
          <w:rFonts w:hint="eastAsia" w:ascii="仿宋" w:hAnsi="仿宋" w:eastAsia="仿宋" w:cs="仿宋"/>
          <w:i w:val="0"/>
          <w:caps w:val="0"/>
          <w:color w:val="auto"/>
          <w:spacing w:val="0"/>
          <w:sz w:val="28"/>
          <w:szCs w:val="28"/>
          <w:u w:val="none"/>
          <w:shd w:val="clear" w:fill="FFFFFF"/>
        </w:rPr>
        <w:fldChar w:fldCharType="separate"/>
      </w:r>
      <w:r>
        <w:rPr>
          <w:rStyle w:val="18"/>
          <w:rFonts w:hint="eastAsia" w:ascii="仿宋" w:hAnsi="仿宋" w:eastAsia="仿宋" w:cs="仿宋"/>
          <w:i w:val="0"/>
          <w:caps w:val="0"/>
          <w:color w:val="auto"/>
          <w:spacing w:val="0"/>
          <w:sz w:val="28"/>
          <w:szCs w:val="28"/>
          <w:u w:val="none"/>
          <w:shd w:val="clear" w:fill="FFFFFF"/>
        </w:rPr>
        <w:t>5612号台风</w:t>
      </w:r>
      <w:r>
        <w:rPr>
          <w:rFonts w:hint="eastAsia" w:ascii="仿宋" w:hAnsi="仿宋" w:eastAsia="仿宋" w:cs="仿宋"/>
          <w:i w:val="0"/>
          <w:caps w:val="0"/>
          <w:color w:val="auto"/>
          <w:spacing w:val="0"/>
          <w:sz w:val="28"/>
          <w:szCs w:val="28"/>
          <w:u w:val="none"/>
          <w:shd w:val="clear" w:fill="FFFFFF"/>
        </w:rPr>
        <w:fldChar w:fldCharType="end"/>
      </w:r>
      <w:r>
        <w:rPr>
          <w:rFonts w:hint="eastAsia" w:ascii="仿宋" w:hAnsi="仿宋" w:eastAsia="仿宋" w:cs="仿宋"/>
          <w:i w:val="0"/>
          <w:caps w:val="0"/>
          <w:color w:val="auto"/>
          <w:spacing w:val="0"/>
          <w:sz w:val="28"/>
          <w:szCs w:val="28"/>
          <w:shd w:val="clear" w:fill="FFFFFF"/>
        </w:rPr>
        <w:t>）和1949年以来登陆中国台风中第五强</w:t>
      </w:r>
      <w:r>
        <w:rPr>
          <w:rFonts w:hint="eastAsia" w:ascii="仿宋" w:hAnsi="仿宋" w:eastAsia="仿宋" w:cs="仿宋"/>
          <w:i w:val="0"/>
          <w:caps w:val="0"/>
          <w:color w:val="auto"/>
          <w:spacing w:val="0"/>
          <w:sz w:val="28"/>
          <w:szCs w:val="28"/>
          <w:shd w:val="clear" w:fill="FFFFFF"/>
          <w:lang w:eastAsia="zh-CN"/>
        </w:rPr>
        <w:t>。据测，</w:t>
      </w:r>
      <w:r>
        <w:rPr>
          <w:rFonts w:hint="eastAsia" w:ascii="仿宋" w:hAnsi="仿宋" w:eastAsia="仿宋" w:cs="仿宋"/>
          <w:i w:val="0"/>
          <w:caps w:val="0"/>
          <w:color w:val="auto"/>
          <w:spacing w:val="0"/>
          <w:sz w:val="28"/>
          <w:szCs w:val="28"/>
          <w:u w:val="none"/>
          <w:shd w:val="clear" w:fill="FFFFFF"/>
        </w:rPr>
        <w:fldChar w:fldCharType="begin"/>
      </w:r>
      <w:r>
        <w:rPr>
          <w:rFonts w:hint="eastAsia" w:ascii="仿宋" w:hAnsi="仿宋" w:eastAsia="仿宋" w:cs="仿宋"/>
          <w:i w:val="0"/>
          <w:caps w:val="0"/>
          <w:color w:val="auto"/>
          <w:spacing w:val="0"/>
          <w:sz w:val="28"/>
          <w:szCs w:val="28"/>
          <w:u w:val="none"/>
          <w:shd w:val="clear" w:fill="FFFFFF"/>
        </w:rPr>
        <w:instrText xml:space="preserve"> HYPERLINK "https://baike.sogou.com/lemma/ShowInnerLink.htm?lemmaId=47392352&amp;ss_c=ssc.citiao.link" \t "https://baike.sogou.com/_blank" </w:instrText>
      </w:r>
      <w:r>
        <w:rPr>
          <w:rFonts w:hint="eastAsia" w:ascii="仿宋" w:hAnsi="仿宋" w:eastAsia="仿宋" w:cs="仿宋"/>
          <w:i w:val="0"/>
          <w:caps w:val="0"/>
          <w:color w:val="auto"/>
          <w:spacing w:val="0"/>
          <w:sz w:val="28"/>
          <w:szCs w:val="28"/>
          <w:u w:val="none"/>
          <w:shd w:val="clear" w:fill="FFFFFF"/>
        </w:rPr>
        <w:fldChar w:fldCharType="separate"/>
      </w:r>
      <w:r>
        <w:rPr>
          <w:rStyle w:val="18"/>
          <w:rFonts w:hint="eastAsia" w:ascii="仿宋" w:hAnsi="仿宋" w:eastAsia="仿宋" w:cs="仿宋"/>
          <w:i w:val="0"/>
          <w:caps w:val="0"/>
          <w:color w:val="auto"/>
          <w:spacing w:val="0"/>
          <w:sz w:val="28"/>
          <w:szCs w:val="28"/>
          <w:u w:val="none"/>
          <w:shd w:val="clear" w:fill="FFFFFF"/>
        </w:rPr>
        <w:t>温岭石塘</w:t>
      </w:r>
      <w:r>
        <w:rPr>
          <w:rFonts w:hint="eastAsia" w:ascii="仿宋" w:hAnsi="仿宋" w:eastAsia="仿宋" w:cs="仿宋"/>
          <w:i w:val="0"/>
          <w:caps w:val="0"/>
          <w:color w:val="auto"/>
          <w:spacing w:val="0"/>
          <w:sz w:val="28"/>
          <w:szCs w:val="28"/>
          <w:u w:val="none"/>
          <w:shd w:val="clear" w:fill="FFFFFF"/>
        </w:rPr>
        <w:fldChar w:fldCharType="end"/>
      </w:r>
      <w:r>
        <w:rPr>
          <w:rFonts w:hint="eastAsia" w:ascii="仿宋" w:hAnsi="仿宋" w:eastAsia="仿宋" w:cs="仿宋"/>
          <w:i w:val="0"/>
          <w:caps w:val="0"/>
          <w:color w:val="auto"/>
          <w:spacing w:val="0"/>
          <w:sz w:val="28"/>
          <w:szCs w:val="28"/>
          <w:shd w:val="clear" w:fill="FFFFFF"/>
        </w:rPr>
        <w:t>镇三蒜岛（61.4米/秒）、椒江区</w:t>
      </w:r>
      <w:r>
        <w:rPr>
          <w:rFonts w:hint="eastAsia" w:ascii="仿宋" w:hAnsi="仿宋" w:eastAsia="仿宋" w:cs="仿宋"/>
          <w:i w:val="0"/>
          <w:caps w:val="0"/>
          <w:color w:val="auto"/>
          <w:spacing w:val="0"/>
          <w:sz w:val="28"/>
          <w:szCs w:val="28"/>
          <w:u w:val="none"/>
          <w:shd w:val="clear" w:fill="FFFFFF"/>
        </w:rPr>
        <w:fldChar w:fldCharType="begin"/>
      </w:r>
      <w:r>
        <w:rPr>
          <w:rFonts w:hint="eastAsia" w:ascii="仿宋" w:hAnsi="仿宋" w:eastAsia="仿宋" w:cs="仿宋"/>
          <w:i w:val="0"/>
          <w:caps w:val="0"/>
          <w:color w:val="auto"/>
          <w:spacing w:val="0"/>
          <w:sz w:val="28"/>
          <w:szCs w:val="28"/>
          <w:u w:val="none"/>
          <w:shd w:val="clear" w:fill="FFFFFF"/>
        </w:rPr>
        <w:instrText xml:space="preserve"> HYPERLINK "https://baike.sogou.com/lemma/ShowInnerLink.htm?lemmaId=72312535&amp;ss_c=ssc.citiao.link" \t "https://baike.sogou.com/_blank" </w:instrText>
      </w:r>
      <w:r>
        <w:rPr>
          <w:rFonts w:hint="eastAsia" w:ascii="仿宋" w:hAnsi="仿宋" w:eastAsia="仿宋" w:cs="仿宋"/>
          <w:i w:val="0"/>
          <w:caps w:val="0"/>
          <w:color w:val="auto"/>
          <w:spacing w:val="0"/>
          <w:sz w:val="28"/>
          <w:szCs w:val="28"/>
          <w:u w:val="none"/>
          <w:shd w:val="clear" w:fill="FFFFFF"/>
        </w:rPr>
        <w:fldChar w:fldCharType="separate"/>
      </w:r>
      <w:r>
        <w:rPr>
          <w:rStyle w:val="18"/>
          <w:rFonts w:hint="eastAsia" w:ascii="仿宋" w:hAnsi="仿宋" w:eastAsia="仿宋" w:cs="仿宋"/>
          <w:i w:val="0"/>
          <w:caps w:val="0"/>
          <w:color w:val="auto"/>
          <w:spacing w:val="0"/>
          <w:sz w:val="28"/>
          <w:szCs w:val="28"/>
          <w:u w:val="none"/>
          <w:shd w:val="clear" w:fill="FFFFFF"/>
        </w:rPr>
        <w:t>南岙村</w:t>
      </w:r>
      <w:r>
        <w:rPr>
          <w:rFonts w:hint="eastAsia" w:ascii="仿宋" w:hAnsi="仿宋" w:eastAsia="仿宋" w:cs="仿宋"/>
          <w:i w:val="0"/>
          <w:caps w:val="0"/>
          <w:color w:val="auto"/>
          <w:spacing w:val="0"/>
          <w:sz w:val="28"/>
          <w:szCs w:val="28"/>
          <w:u w:val="none"/>
          <w:shd w:val="clear" w:fill="FFFFFF"/>
        </w:rPr>
        <w:fldChar w:fldCharType="end"/>
      </w:r>
      <w:r>
        <w:rPr>
          <w:rFonts w:hint="eastAsia" w:ascii="仿宋" w:hAnsi="仿宋" w:eastAsia="仿宋" w:cs="仿宋"/>
          <w:i w:val="0"/>
          <w:caps w:val="0"/>
          <w:color w:val="auto"/>
          <w:spacing w:val="0"/>
          <w:sz w:val="28"/>
          <w:szCs w:val="28"/>
          <w:shd w:val="clear" w:fill="FFFFFF"/>
        </w:rPr>
        <w:t>（60.3米/秒）、温岭北港（57.8米/秒）等地风速达到或超过17级</w:t>
      </w:r>
      <w:r>
        <w:rPr>
          <w:rFonts w:hint="eastAsia" w:ascii="仿宋" w:hAnsi="仿宋" w:eastAsia="仿宋" w:cs="仿宋"/>
          <w:i w:val="0"/>
          <w:caps w:val="0"/>
          <w:color w:val="auto"/>
          <w:spacing w:val="0"/>
          <w:sz w:val="28"/>
          <w:szCs w:val="28"/>
          <w:shd w:val="clear" w:fill="FFFFFF"/>
          <w:lang w:eastAsia="zh-CN"/>
        </w:rPr>
        <w:t>，登陆时出现强烈风暴增雨。</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val="0"/>
          <w:bCs w:val="0"/>
          <w:color w:val="auto"/>
          <w:sz w:val="28"/>
          <w:szCs w:val="28"/>
          <w:lang w:val="en-US" w:eastAsia="zh-CN"/>
        </w:rPr>
      </w:pPr>
      <w:r>
        <w:rPr>
          <w:rFonts w:hint="eastAsia" w:ascii="仿宋" w:hAnsi="仿宋" w:eastAsia="仿宋" w:cs="仿宋"/>
          <w:b/>
          <w:bCs/>
          <w:color w:val="auto"/>
          <w:sz w:val="28"/>
          <w:szCs w:val="28"/>
          <w:lang w:val="en-US" w:eastAsia="zh-CN"/>
        </w:rPr>
        <w:t xml:space="preserve">2.3.5 </w:t>
      </w:r>
      <w:r>
        <w:rPr>
          <w:rFonts w:hint="default" w:ascii="仿宋" w:hAnsi="仿宋" w:eastAsia="仿宋" w:cs="仿宋"/>
          <w:b/>
          <w:bCs/>
          <w:color w:val="auto"/>
          <w:sz w:val="28"/>
          <w:szCs w:val="28"/>
          <w:lang w:val="en-US" w:eastAsia="zh-CN"/>
        </w:rPr>
        <w:t>雾</w:t>
      </w:r>
      <w:r>
        <w:rPr>
          <w:rFonts w:hint="default" w:ascii="仿宋" w:hAnsi="仿宋" w:eastAsia="仿宋" w:cs="仿宋"/>
          <w:b w:val="0"/>
          <w:bCs w:val="0"/>
          <w:color w:val="auto"/>
          <w:sz w:val="28"/>
          <w:szCs w:val="28"/>
          <w:lang w:val="en-US" w:eastAsia="zh-CN"/>
        </w:rPr>
        <w:t xml:space="preserve"> </w:t>
      </w:r>
    </w:p>
    <w:p>
      <w:pPr>
        <w:spacing w:line="360" w:lineRule="auto"/>
        <w:ind w:firstLine="560" w:firstLineChars="2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该港处于东海多雾海区，年平均雾日（能见度小于1千米）50天左右，最多年大陈站达88天、玉环站达72天；雾多出现在冷暖气团交错的冬春季节，雾日主要集中在3月－6月，占全年的72％；5月海雾最盛。雾的日变化比较明显，一般多出现于下半夜到日出之前，日出后2小时～3小时内消失。海岛雾日多于内陆。海门港区的雾通常出现在午夜至上午10时左右，春夏季一般为平流雾，多出现在南风或东南风天气；秋季一般为辐射雾，多出现在微风晴朗之夜；锋面雾较少，一般出现在寒潮来临前后。</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2.3.6 </w:t>
      </w:r>
      <w:r>
        <w:rPr>
          <w:rFonts w:hint="default" w:ascii="仿宋" w:hAnsi="仿宋" w:eastAsia="仿宋" w:cs="仿宋"/>
          <w:b/>
          <w:bCs/>
          <w:color w:val="auto"/>
          <w:sz w:val="28"/>
          <w:szCs w:val="28"/>
          <w:lang w:val="en-US" w:eastAsia="zh-CN"/>
        </w:rPr>
        <w:t>能见度</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影响能见度的主要因素是雾。能见度小于1千米的日数年平均222天，能见度在1千米～10千米的日数年均28天，10千米以上的日数年平均115天。3月－6月能见度较差，盛夏、秋冬季节能见度较好。</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2.3.7 </w:t>
      </w:r>
      <w:r>
        <w:rPr>
          <w:rFonts w:hint="default" w:ascii="仿宋" w:hAnsi="仿宋" w:eastAsia="仿宋" w:cs="仿宋"/>
          <w:b/>
          <w:bCs/>
          <w:color w:val="auto"/>
          <w:sz w:val="28"/>
          <w:szCs w:val="28"/>
          <w:lang w:val="en-US" w:eastAsia="zh-CN"/>
        </w:rPr>
        <w:t xml:space="preserve">气温 </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该港年平均气温17℃，极端最高气温38.8℃，极端最低气温-7.5℃。历年日最高气温大于35℃年平均出现日为10天；历年日最低气温小于0℃年平均出现日，海岛为10天、内陆为20天。</w:t>
      </w:r>
    </w:p>
    <w:p>
      <w:pPr>
        <w:spacing w:line="360" w:lineRule="auto"/>
        <w:ind w:firstLine="562" w:firstLineChars="200"/>
        <w:jc w:val="both"/>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2.3.8 降水 </w:t>
      </w:r>
    </w:p>
    <w:p>
      <w:pPr>
        <w:spacing w:line="360" w:lineRule="auto"/>
        <w:ind w:firstLine="560" w:firstLineChars="2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该港降水主要集中在3月－9月，降水量为全年的75％。5月、6月和9月主要受东南气流控制以及梅雨、台风影响，造成降雨量较大。10月至次年1月降水量较少，仅占全年总量的20％。沿海及岛屿降水量少于内陆。</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outlineLvl w:val="1"/>
        <w:rPr>
          <w:rFonts w:hint="eastAsia" w:ascii="仿宋" w:hAnsi="仿宋" w:eastAsia="仿宋" w:cs="仿宋"/>
          <w:b/>
          <w:bCs/>
          <w:color w:val="auto"/>
          <w:sz w:val="28"/>
          <w:szCs w:val="28"/>
          <w:lang w:val="en-US" w:eastAsia="zh-CN"/>
        </w:rPr>
      </w:pPr>
      <w:bookmarkStart w:id="16" w:name="_Toc670"/>
      <w:r>
        <w:rPr>
          <w:rFonts w:hint="eastAsia" w:ascii="仿宋" w:hAnsi="仿宋" w:eastAsia="仿宋" w:cs="仿宋"/>
          <w:b/>
          <w:bCs/>
          <w:color w:val="auto"/>
          <w:sz w:val="28"/>
          <w:szCs w:val="28"/>
          <w:lang w:val="en-US" w:eastAsia="zh-CN"/>
        </w:rPr>
        <w:t>2.4 港口航道</w:t>
      </w:r>
      <w:bookmarkEnd w:id="16"/>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outlineLvl w:val="1"/>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根据《浙江沿海及主要港口航行指南》（2008）、《关于浙江沿海主要公共航路锚地的公告》，台州港附近海域主要有东、西沿海航路两条航线和一条外航路航线以及小型船舶的南北向沿岸习惯航路，还有进出各港区的航道。</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2.4.1 外航路 </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 xml:space="preserve">外航路是中国沿海大型和超大型船舶航行的南北大通道。自长江口灯船，经花鸟山、嵊山、浪岗山列岛、外甩礁（两兄弟屿），渔山列岛东方海面至福建。外航路海域开阔，航路顺直，转向点少，航线走向一般为 213°～33°，水深不受限，一般在 30m 以上，可满足各类船舶全天候通航，但距岸远。该航路导航手段主要以 GPS、AIS、雷达、电罗经为主，以沿海大型灯塔、雷达应答器链为辅。 </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2.4.2 东航路 </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 xml:space="preserve">东航路是浙江沿海大中型船舶航行的南北大通道。自长江口灯船，经西半洋礁西方、小板门、东亭山、渔山列岛西方，经东矶列岛、台州列岛、南麂列岛、王礁东方海面，过台山列岛西侧驶出浙江沿海。该航路是大中型船舶过境浙江沿海的常用航路，船舶通航密度较大。航路距岸适中，比较顺直，转向点少，水深在 10m～20m 线之间，助航导航设施相对较好，能方便应用灯塔、灯桩等陆标定位，DGPS、AIS 基本覆盖。 </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 xml:space="preserve">由北方来中、小型船从椒江口外经大陈岛东侧由北向南，通向乐清湾和温州港，该段航路是由下大陈岛、下屿东侧转航向 226°~46°，航行至台州下浪珰岛灯桩东侧进入洞头洋；或由下屿航行约 32.5km至一蒜岛东侧约 7.3km 转向，进入本项目进港航道起点，水深一般大多在 14m 以上。 </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2.4.3 西航路 </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 xml:space="preserve">西航路是浙江近岸中小型船舶航行的南北通道。西航路（台州段）自鸟礁、东矶岛以东海面，经黄屿西方，过洛屿、下浪珰以东海域，驶往温州水域。通常为 5000 吨级及以下船舶前往或过境浙江沿海诸港的常用航路。该航路距岸近，航路相对曲折，转向多，与进出港航路形成交叉，部分航段可航水域狭窄，船舶通航密度大。该航路沿途助航导航设施完备，能方便应用灯塔、灯桩等陆标定位，DGPS、AIS基本覆盖。 </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 xml:space="preserve">北方来中、小型船从椒江口外经大陈岛西侧由北向南，通向乐清湾和温州港，该段航路是由上大陈岛西侧转航向 195°~15°，航行约26.7km 至洛屿灯桩东侧，转航向 221°~41°航行至台州下浪珰岛灯桩东侧进入洞头洋；或由洛屿航行约 10km 至一蒜岛灯桩东侧约 4.0km转向到达本工程进港航道起点，水深大多在 8m（为理论最低潮面，以下同）以上。 </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2.4.4 沿岸习惯航路 </w:t>
      </w:r>
    </w:p>
    <w:p>
      <w:pPr>
        <w:spacing w:line="360" w:lineRule="auto"/>
        <w:ind w:firstLine="560" w:firstLineChars="200"/>
        <w:jc w:val="both"/>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沿岸习惯航路是小型船舶沿浙江海岸航行的习惯航路。沿岸习惯航路（台州段），自宁波水域弥陀岛西侧，经草鞋耙屿东侧、饭毕东侧、小竹山东侧、撑礁西侧、积谷山东侧、钓浜水道牛山西侧、大洞精岛东侧、前山西侧，驶往温州水域的笔架礁。该航路通常为 500 吨级及以下船舶前往或过境浙、闽沿海诸港的习惯航路。该航路紧靠海岸线，航路曲折多变，转向多，处在岛礁间，可航水域狭窄，岛屿、礁石随处可见，水流情况复杂，且与沿途各进出港航路交叉，小型船舶和渔船通航密度大，通航环境复杂。助航导航设施主要以灯桩等陆标定位为主。</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2.4.5 海门、黄岩港区航道</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kern w:val="0"/>
          <w:sz w:val="28"/>
          <w:szCs w:val="28"/>
          <w:lang w:val="en-US" w:eastAsia="zh-CN" w:bidi="ar"/>
        </w:rPr>
      </w:pPr>
      <w:r>
        <w:rPr>
          <w:rFonts w:hint="eastAsia" w:ascii="仿宋" w:hAnsi="仿宋" w:eastAsia="仿宋" w:cs="仿宋"/>
          <w:i w:val="0"/>
          <w:caps w:val="0"/>
          <w:color w:val="auto"/>
          <w:spacing w:val="0"/>
          <w:kern w:val="0"/>
          <w:sz w:val="28"/>
          <w:szCs w:val="28"/>
          <w:lang w:val="en-US" w:eastAsia="zh-CN" w:bidi="ar"/>
        </w:rPr>
        <w:t>习惯以牛头颈与小园山连线为界，东侧称为椒江口外航道，西侧称为椒江口内航道。</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外航道为台州市第一引航检疫锚地至牛头颈，全长约30km，航道宽度500m，其中老鼠屿～白沙的18 km为浅段，航道水深有2m（理论深度基面），3000吨级海轮可乘潮通航，5000吨级和浅吃水万吨级海轮可乘潮通行，但保证率较低。</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内航道为牛头颈至三江口，全长12 km左右，河面宽度850～1700m，主航道宽度为200m左右，水深为3.0～3.40m，3000吨级海轮可乘潮通航。由于椒江大桥的通航孔净空高度为22m （设计通航高水位为吴淞基面5.04m），所以通航船舶的高度受其限制。</w:t>
      </w:r>
    </w:p>
    <w:p>
      <w:pPr>
        <w:spacing w:line="360" w:lineRule="auto"/>
        <w:jc w:val="both"/>
        <w:rPr>
          <w:rFonts w:hint="eastAsia" w:ascii="仿宋" w:hAnsi="仿宋" w:eastAsia="仿宋" w:cs="仿宋"/>
          <w:sz w:val="28"/>
          <w:szCs w:val="28"/>
          <w:lang w:val="en-US" w:eastAsia="zh-CN"/>
        </w:rPr>
      </w:pPr>
      <w:r>
        <w:rPr>
          <w:rFonts w:hint="eastAsia" w:ascii="仿宋" w:hAnsi="仿宋" w:eastAsia="仿宋" w:cs="仿宋"/>
          <w:i w:val="0"/>
          <w:caps w:val="0"/>
          <w:color w:val="auto"/>
          <w:spacing w:val="0"/>
          <w:kern w:val="0"/>
          <w:sz w:val="28"/>
          <w:szCs w:val="28"/>
          <w:lang w:val="en-US" w:eastAsia="zh-CN" w:bidi="ar"/>
        </w:rPr>
        <w:t>内航道建有航道整治建筑物长顺坝和丁坝。长顺坝起点位于海门港区7号码头外侧，（X＝28</w:t>
      </w:r>
      <w:r>
        <w:rPr>
          <w:rFonts w:hint="eastAsia" w:ascii="仿宋" w:hAnsi="仿宋" w:eastAsia="仿宋" w:cs="仿宋"/>
          <w:i w:val="0"/>
          <w:caps w:val="0"/>
          <w:color w:val="auto"/>
          <w:spacing w:val="0"/>
          <w:kern w:val="0"/>
          <w:sz w:val="28"/>
          <w:szCs w:val="28"/>
          <w:vertAlign w:val="superscript"/>
          <w:lang w:val="en-US" w:eastAsia="zh-CN" w:bidi="ar"/>
        </w:rPr>
        <w:t>°</w:t>
      </w:r>
      <w:r>
        <w:rPr>
          <w:rFonts w:hint="eastAsia" w:ascii="仿宋" w:hAnsi="仿宋" w:eastAsia="仿宋" w:cs="仿宋"/>
          <w:i w:val="0"/>
          <w:caps w:val="0"/>
          <w:color w:val="auto"/>
          <w:spacing w:val="0"/>
          <w:kern w:val="0"/>
          <w:sz w:val="28"/>
          <w:szCs w:val="28"/>
          <w:lang w:val="en-US" w:eastAsia="zh-CN" w:bidi="ar"/>
        </w:rPr>
        <w:t>41′27.83″,Y＝121</w:t>
      </w:r>
      <w:r>
        <w:rPr>
          <w:rFonts w:hint="eastAsia" w:ascii="仿宋" w:hAnsi="仿宋" w:eastAsia="仿宋" w:cs="仿宋"/>
          <w:i w:val="0"/>
          <w:caps w:val="0"/>
          <w:color w:val="auto"/>
          <w:spacing w:val="0"/>
          <w:kern w:val="0"/>
          <w:sz w:val="28"/>
          <w:szCs w:val="28"/>
          <w:vertAlign w:val="superscript"/>
          <w:lang w:val="en-US" w:eastAsia="zh-CN" w:bidi="ar"/>
        </w:rPr>
        <w:t>°</w:t>
      </w:r>
      <w:r>
        <w:rPr>
          <w:rFonts w:hint="eastAsia" w:ascii="仿宋" w:hAnsi="仿宋" w:eastAsia="仿宋" w:cs="仿宋"/>
          <w:i w:val="0"/>
          <w:caps w:val="0"/>
          <w:color w:val="auto"/>
          <w:spacing w:val="0"/>
          <w:kern w:val="0"/>
          <w:sz w:val="28"/>
          <w:szCs w:val="28"/>
          <w:lang w:val="en-US" w:eastAsia="zh-CN" w:bidi="ar"/>
        </w:rPr>
        <w:t>26′00.08″）,终点位于椒江大桥西侧500m左右（X＝28</w:t>
      </w:r>
      <w:r>
        <w:rPr>
          <w:rFonts w:hint="eastAsia" w:ascii="仿宋" w:hAnsi="仿宋" w:eastAsia="仿宋" w:cs="仿宋"/>
          <w:i w:val="0"/>
          <w:caps w:val="0"/>
          <w:color w:val="auto"/>
          <w:spacing w:val="0"/>
          <w:kern w:val="0"/>
          <w:sz w:val="28"/>
          <w:szCs w:val="28"/>
          <w:vertAlign w:val="superscript"/>
          <w:lang w:val="en-US" w:eastAsia="zh-CN" w:bidi="ar"/>
        </w:rPr>
        <w:t>°</w:t>
      </w:r>
      <w:r>
        <w:rPr>
          <w:rFonts w:hint="eastAsia" w:ascii="仿宋" w:hAnsi="仿宋" w:eastAsia="仿宋" w:cs="仿宋"/>
          <w:i w:val="0"/>
          <w:caps w:val="0"/>
          <w:color w:val="auto"/>
          <w:spacing w:val="0"/>
          <w:kern w:val="0"/>
          <w:sz w:val="28"/>
          <w:szCs w:val="28"/>
          <w:lang w:val="en-US" w:eastAsia="zh-CN" w:bidi="ar"/>
        </w:rPr>
        <w:t>41′48.38″，Y＝121</w:t>
      </w:r>
      <w:r>
        <w:rPr>
          <w:rFonts w:hint="eastAsia" w:ascii="仿宋" w:hAnsi="仿宋" w:eastAsia="仿宋" w:cs="仿宋"/>
          <w:i w:val="0"/>
          <w:caps w:val="0"/>
          <w:color w:val="auto"/>
          <w:spacing w:val="0"/>
          <w:kern w:val="0"/>
          <w:sz w:val="28"/>
          <w:szCs w:val="28"/>
          <w:vertAlign w:val="superscript"/>
          <w:lang w:val="en-US" w:eastAsia="zh-CN" w:bidi="ar"/>
        </w:rPr>
        <w:t>°</w:t>
      </w:r>
      <w:r>
        <w:rPr>
          <w:rFonts w:hint="eastAsia" w:ascii="仿宋" w:hAnsi="仿宋" w:eastAsia="仿宋" w:cs="仿宋"/>
          <w:i w:val="0"/>
          <w:caps w:val="0"/>
          <w:color w:val="auto"/>
          <w:spacing w:val="0"/>
          <w:kern w:val="0"/>
          <w:sz w:val="28"/>
          <w:szCs w:val="28"/>
          <w:lang w:val="en-US" w:eastAsia="zh-CN" w:bidi="ar"/>
        </w:rPr>
        <w:t>23′23.49″），全长4300左右，坝顶宽度2m，顶面高程吴淞2.5米。长顺坝北侧分别建有五道</w:t>
      </w:r>
      <w:r>
        <w:rPr>
          <w:rFonts w:hint="eastAsia" w:ascii="仿宋" w:hAnsi="仿宋" w:eastAsia="仿宋" w:cs="仿宋"/>
          <w:sz w:val="28"/>
          <w:szCs w:val="28"/>
          <w:lang w:val="en-US" w:eastAsia="zh-CN"/>
        </w:rPr>
        <w:t>丁坝，一道潜坝。主航道在长顺坝南侧，北侧航道通航100吨级以下小型船舶。</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海门港区大陈作业区的航道可由东航路西行至作业区，航道长度约10km，水深20m以上，30万吨级的船舶可乘潮通航。</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2" w:firstLineChars="200"/>
        <w:jc w:val="both"/>
        <w:rPr>
          <w:rFonts w:hint="eastAsia" w:ascii="仿宋" w:hAnsi="仿宋" w:eastAsia="仿宋" w:cs="仿宋"/>
          <w:b/>
          <w:bCs/>
          <w:i w:val="0"/>
          <w:caps w:val="0"/>
          <w:color w:val="auto"/>
          <w:spacing w:val="0"/>
          <w:sz w:val="28"/>
          <w:szCs w:val="28"/>
        </w:rPr>
      </w:pPr>
      <w:r>
        <w:rPr>
          <w:rFonts w:hint="eastAsia" w:ascii="仿宋" w:hAnsi="仿宋" w:eastAsia="仿宋" w:cs="仿宋"/>
          <w:b/>
          <w:bCs/>
          <w:i w:val="0"/>
          <w:caps w:val="0"/>
          <w:color w:val="auto"/>
          <w:spacing w:val="0"/>
          <w:kern w:val="0"/>
          <w:sz w:val="28"/>
          <w:szCs w:val="28"/>
          <w:lang w:val="en-US" w:eastAsia="zh-CN" w:bidi="ar"/>
        </w:rPr>
        <w:t>2.4.6 头门港区航道</w:t>
      </w:r>
    </w:p>
    <w:p>
      <w:pPr>
        <w:spacing w:line="360" w:lineRule="auto"/>
        <w:ind w:firstLine="560" w:firstLineChars="200"/>
        <w:jc w:val="both"/>
        <w:rPr>
          <w:rFonts w:hint="eastAsia" w:ascii="仿宋" w:hAnsi="仿宋" w:eastAsia="仿宋" w:cs="仿宋"/>
          <w:sz w:val="28"/>
          <w:szCs w:val="28"/>
          <w:lang w:val="en-US" w:eastAsia="zh-CN"/>
        </w:rPr>
      </w:pPr>
      <w:r>
        <w:rPr>
          <w:rFonts w:hint="eastAsia" w:ascii="仿宋" w:hAnsi="仿宋" w:eastAsia="仿宋" w:cs="仿宋"/>
          <w:i w:val="0"/>
          <w:caps w:val="0"/>
          <w:color w:val="auto"/>
          <w:spacing w:val="0"/>
          <w:kern w:val="0"/>
          <w:sz w:val="28"/>
          <w:szCs w:val="28"/>
          <w:lang w:val="en-US" w:eastAsia="zh-CN" w:bidi="ar"/>
        </w:rPr>
        <w:t>灵江作业区航道三江口以下与海门、黄岩港区航道相同；三江口至红光码头长3 km，航道宽度200m左右，水深3.0m，可乘潮通航3000吨级海轮；红光码头至灵江二桥，全长32 km，航道宽度150m左右，水深2.0～</w:t>
      </w:r>
      <w:r>
        <w:rPr>
          <w:rFonts w:hint="eastAsia" w:ascii="仿宋" w:hAnsi="仿宋" w:eastAsia="仿宋" w:cs="仿宋"/>
          <w:sz w:val="28"/>
          <w:szCs w:val="28"/>
          <w:lang w:val="en-US" w:eastAsia="zh-CN"/>
        </w:rPr>
        <w:t>3.50m，可乘潮通航1000吨级海轮。</w:t>
      </w:r>
    </w:p>
    <w:p>
      <w:pPr>
        <w:spacing w:line="360" w:lineRule="auto"/>
        <w:ind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sz w:val="28"/>
          <w:szCs w:val="28"/>
          <w:lang w:val="en-US" w:eastAsia="zh-CN"/>
        </w:rPr>
        <w:t>头门作业区进港航道有南北二线，北线航道起于油菜花屿附近的西航路，并向西南延伸，经田岙岛和东矶岛之间水域进入头门作业区，全长约</w:t>
      </w:r>
      <w:r>
        <w:rPr>
          <w:rFonts w:hint="eastAsia" w:ascii="仿宋" w:hAnsi="仿宋" w:eastAsia="仿宋" w:cs="仿宋"/>
          <w:i w:val="0"/>
          <w:caps w:val="0"/>
          <w:color w:val="auto"/>
          <w:spacing w:val="0"/>
          <w:kern w:val="0"/>
          <w:sz w:val="28"/>
          <w:szCs w:val="28"/>
          <w:lang w:val="en-US" w:eastAsia="zh-CN" w:bidi="ar"/>
        </w:rPr>
        <w:t>50 km；南线航道起于大茶花岛东侧的东航路，向西延伸至凉帽屿的南侧，然后向西北折向头门作业区，航道全长约25 km。目前，南线和北线进港航道自然水深可满足万吨级船舶乘潮通航。</w:t>
      </w:r>
    </w:p>
    <w:p>
      <w:pPr>
        <w:spacing w:line="360" w:lineRule="auto"/>
        <w:ind w:firstLine="562" w:firstLineChars="200"/>
        <w:jc w:val="both"/>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2.4.7 大麦屿港区航道</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进港航道主要有东线和西线，东线航道起于鹿西岛东南侧的西航路，经鹿西岛与南爿山屿至引航检疫锚地附近，然后向西经玉环岛和横趾山之间水域入乐清湾，沿玉环岛西侧水域，向北延伸至普竹作业区附近，长约50 km；港外候潮锚地至鹿西岛草屿灯桩的航道最小水深为10.1m，在乐清湾内鸡蛋山正横处的航道有水深为9.3米的浅滩， 3万吨级船舶可全天候进出港区，5～7万吨级船舶可候潮进出港区，保证率在90％以上。西线航道沿虎头屿、笔架礁经鹿西岛西侧的黄大峡，经横趾山入乐清湾，万吨级船舶可乘潮通航。同时，由温州瓯江口进入大麦屿的中、小型船舶可利用沙头水道直接进入大麦屿港区，3000吨级以下船舶可乘潮通航。</w:t>
      </w:r>
    </w:p>
    <w:p>
      <w:pPr>
        <w:spacing w:line="360" w:lineRule="auto"/>
        <w:ind w:firstLine="562" w:firstLineChars="200"/>
        <w:jc w:val="both"/>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2.4.8 健跳港区航道</w:t>
      </w:r>
    </w:p>
    <w:p>
      <w:pPr>
        <w:spacing w:line="360" w:lineRule="auto"/>
        <w:ind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sz w:val="28"/>
          <w:szCs w:val="28"/>
          <w:lang w:val="en-US" w:eastAsia="zh-CN"/>
        </w:rPr>
        <w:t>进港航道有南北二条。南线起于东矶岛东侧的东航路，向西北偏北方向延</w:t>
      </w:r>
      <w:r>
        <w:rPr>
          <w:rFonts w:hint="eastAsia" w:ascii="仿宋" w:hAnsi="仿宋" w:eastAsia="仿宋" w:cs="仿宋"/>
          <w:i w:val="0"/>
          <w:caps w:val="0"/>
          <w:color w:val="auto"/>
          <w:spacing w:val="0"/>
          <w:kern w:val="0"/>
          <w:sz w:val="28"/>
          <w:szCs w:val="28"/>
          <w:lang w:val="en-US" w:eastAsia="zh-CN" w:bidi="ar"/>
        </w:rPr>
        <w:t>伸至草鞋襟屿的东南侧，然后转向西北偏西向，经大甲山待泊锚地的南侧水域进入健跳江口的狗头门，全长60 km左右。该航道为天然航道，水深在8～10m（理论基面），万吨级船舶可乘潮通航。北线航道起始于油菜花峙附近的西航路，向西南方向延伸至草鞋襟屿东南侧，并与南线相接，全长40 km左右。该航道自然水深在8～10m（理论基面），万吨级船舶可乘潮通航。狗门至健跳江黄门峡，5000吨级船舶可乘潮通航。</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2" w:firstLineChars="200"/>
        <w:jc w:val="both"/>
        <w:rPr>
          <w:rFonts w:hint="eastAsia" w:ascii="仿宋" w:hAnsi="仿宋" w:eastAsia="仿宋" w:cs="仿宋"/>
          <w:b/>
          <w:bCs/>
          <w:i w:val="0"/>
          <w:caps w:val="0"/>
          <w:color w:val="auto"/>
          <w:spacing w:val="0"/>
          <w:sz w:val="28"/>
          <w:szCs w:val="28"/>
        </w:rPr>
      </w:pPr>
      <w:r>
        <w:rPr>
          <w:rFonts w:hint="eastAsia" w:ascii="仿宋" w:hAnsi="仿宋" w:eastAsia="仿宋" w:cs="仿宋"/>
          <w:b/>
          <w:bCs/>
          <w:i w:val="0"/>
          <w:caps w:val="0"/>
          <w:color w:val="auto"/>
          <w:spacing w:val="0"/>
          <w:kern w:val="0"/>
          <w:sz w:val="28"/>
          <w:szCs w:val="28"/>
          <w:lang w:val="en-US" w:eastAsia="zh-CN" w:bidi="ar"/>
        </w:rPr>
        <w:t>2.4.9 温岭港区航道</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龙门作业区现均为天然航道，2000吨级船舶可乘潮通航。</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石塘作业区均为天然航道，5000吨级船舶可乘潮通航。</w:t>
      </w:r>
    </w:p>
    <w:p>
      <w:pPr>
        <w:spacing w:line="360" w:lineRule="auto"/>
        <w:ind w:firstLine="560" w:firstLineChars="2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永安作业区在金清新港内，海轮需通过金清新闸进入金清新港，型宽少于10米的1000吨内船舶可通航。</w:t>
      </w:r>
    </w:p>
    <w:p>
      <w:pPr>
        <w:spacing w:line="360" w:lineRule="auto"/>
        <w:ind w:firstLine="560" w:firstLineChars="200"/>
        <w:jc w:val="both"/>
        <w:rPr>
          <w:rFonts w:hint="eastAsia" w:ascii="仿宋" w:hAnsi="仿宋" w:eastAsia="仿宋" w:cs="仿宋"/>
          <w:sz w:val="28"/>
          <w:szCs w:val="28"/>
          <w:lang w:val="en-US" w:eastAsia="zh-CN"/>
        </w:rPr>
      </w:pPr>
      <w:r>
        <w:rPr>
          <w:rFonts w:hint="eastAsia" w:ascii="仿宋" w:hAnsi="仿宋" w:eastAsia="仿宋" w:cs="仿宋"/>
          <w:color w:val="auto"/>
          <w:sz w:val="28"/>
          <w:szCs w:val="28"/>
          <w:lang w:val="en-US" w:eastAsia="zh-CN"/>
        </w:rPr>
        <w:t>沙山作业区位于乐清湾底部，船舶在经大麦屿港区后逆流而上，沿线经江岩岛、大担岛与小担岛之间、鹰婆岛东侧、大青山西侧、横仔岛与柜屿之间水域进入沙山作业区。</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2" w:firstLineChars="200"/>
        <w:jc w:val="both"/>
        <w:outlineLvl w:val="1"/>
        <w:rPr>
          <w:rFonts w:hint="eastAsia" w:ascii="仿宋" w:hAnsi="仿宋" w:eastAsia="仿宋" w:cs="仿宋"/>
          <w:b/>
          <w:bCs/>
          <w:i w:val="0"/>
          <w:caps w:val="0"/>
          <w:color w:val="auto"/>
          <w:spacing w:val="0"/>
          <w:kern w:val="0"/>
          <w:sz w:val="28"/>
          <w:szCs w:val="28"/>
          <w:lang w:val="en-US" w:eastAsia="zh-CN" w:bidi="ar"/>
        </w:rPr>
      </w:pPr>
      <w:bookmarkStart w:id="17" w:name="_Toc148"/>
      <w:r>
        <w:rPr>
          <w:rFonts w:hint="eastAsia" w:ascii="仿宋" w:hAnsi="仿宋" w:eastAsia="仿宋" w:cs="仿宋"/>
          <w:b/>
          <w:bCs/>
          <w:i w:val="0"/>
          <w:caps w:val="0"/>
          <w:color w:val="auto"/>
          <w:spacing w:val="0"/>
          <w:kern w:val="0"/>
          <w:sz w:val="28"/>
          <w:szCs w:val="28"/>
          <w:lang w:val="en-US" w:eastAsia="zh-CN" w:bidi="ar"/>
        </w:rPr>
        <w:t>2.5 港口锚地</w:t>
      </w:r>
      <w:bookmarkEnd w:id="17"/>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sz w:val="28"/>
          <w:szCs w:val="28"/>
          <w:lang w:val="en-US" w:eastAsia="zh-CN"/>
        </w:rPr>
      </w:pPr>
      <w:r>
        <w:rPr>
          <w:rFonts w:hint="eastAsia" w:ascii="仿宋" w:hAnsi="仿宋" w:eastAsia="仿宋" w:cs="仿宋"/>
          <w:i w:val="0"/>
          <w:caps w:val="0"/>
          <w:color w:val="auto"/>
          <w:spacing w:val="0"/>
          <w:kern w:val="0"/>
          <w:sz w:val="28"/>
          <w:szCs w:val="28"/>
          <w:lang w:val="en-US" w:eastAsia="zh-CN" w:bidi="ar"/>
        </w:rPr>
        <w:t>台州港现有各类锚地22块，具体详见锚地情况览表2-1：</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jc w:val="center"/>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表2-1 台州港锚地情况一览表</w:t>
      </w:r>
    </w:p>
    <w:tbl>
      <w:tblPr>
        <w:tblStyle w:val="14"/>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45"/>
        <w:gridCol w:w="936"/>
        <w:gridCol w:w="855"/>
        <w:gridCol w:w="958"/>
        <w:gridCol w:w="915"/>
        <w:gridCol w:w="810"/>
        <w:gridCol w:w="840"/>
        <w:gridCol w:w="342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30" w:hRule="atLeast"/>
        </w:trPr>
        <w:tc>
          <w:tcPr>
            <w:tcW w:w="545" w:type="dxa"/>
            <w:tcBorders>
              <w:tl2br w:val="nil"/>
              <w:tr2bl w:val="nil"/>
            </w:tcBorders>
            <w:vAlign w:val="center"/>
          </w:tcPr>
          <w:p>
            <w:pPr>
              <w:jc w:val="center"/>
              <w:rPr>
                <w:rFonts w:hint="eastAsia" w:ascii="仿宋" w:hAnsi="仿宋" w:eastAsia="仿宋" w:cs="仿宋"/>
                <w:i w:val="0"/>
                <w:caps w:val="0"/>
                <w:color w:val="auto"/>
                <w:spacing w:val="0"/>
                <w:kern w:val="2"/>
                <w:sz w:val="24"/>
                <w:szCs w:val="24"/>
                <w:u w:val="none"/>
                <w:lang w:val="en-US" w:eastAsia="zh-CN" w:bidi="ar-SA"/>
              </w:rPr>
            </w:pPr>
            <w:r>
              <w:rPr>
                <w:rFonts w:hint="eastAsia" w:ascii="仿宋" w:hAnsi="仿宋" w:eastAsia="仿宋" w:cs="仿宋"/>
                <w:i w:val="0"/>
                <w:caps w:val="0"/>
                <w:color w:val="auto"/>
                <w:spacing w:val="0"/>
                <w:sz w:val="24"/>
                <w:szCs w:val="24"/>
                <w:u w:val="none"/>
                <w:lang w:eastAsia="zh-CN"/>
              </w:rPr>
              <w:t>港区</w:t>
            </w:r>
          </w:p>
        </w:tc>
        <w:tc>
          <w:tcPr>
            <w:tcW w:w="936" w:type="dxa"/>
            <w:tcBorders>
              <w:tl2br w:val="nil"/>
              <w:tr2bl w:val="nil"/>
            </w:tcBorders>
            <w:vAlign w:val="center"/>
          </w:tcPr>
          <w:p>
            <w:pPr>
              <w:jc w:val="center"/>
              <w:rPr>
                <w:rFonts w:hint="eastAsia" w:ascii="仿宋" w:hAnsi="仿宋" w:eastAsia="仿宋" w:cs="仿宋"/>
                <w:i w:val="0"/>
                <w:caps w:val="0"/>
                <w:color w:val="auto"/>
                <w:spacing w:val="0"/>
                <w:sz w:val="24"/>
                <w:szCs w:val="24"/>
                <w:u w:val="none"/>
                <w:lang w:eastAsia="zh-CN"/>
              </w:rPr>
            </w:pPr>
            <w:r>
              <w:rPr>
                <w:rFonts w:hint="eastAsia" w:ascii="仿宋" w:hAnsi="仿宋" w:eastAsia="仿宋" w:cs="仿宋"/>
                <w:i w:val="0"/>
                <w:caps w:val="0"/>
                <w:color w:val="auto"/>
                <w:spacing w:val="0"/>
                <w:sz w:val="24"/>
                <w:szCs w:val="24"/>
                <w:u w:val="none"/>
                <w:lang w:eastAsia="zh-CN"/>
              </w:rPr>
              <w:t>锚地</w:t>
            </w:r>
          </w:p>
          <w:p>
            <w:pPr>
              <w:jc w:val="center"/>
              <w:rPr>
                <w:rFonts w:hint="eastAsia" w:ascii="仿宋" w:hAnsi="仿宋" w:eastAsia="仿宋" w:cs="仿宋"/>
                <w:i w:val="0"/>
                <w:caps w:val="0"/>
                <w:color w:val="auto"/>
                <w:spacing w:val="0"/>
                <w:kern w:val="2"/>
                <w:sz w:val="24"/>
                <w:szCs w:val="24"/>
                <w:u w:val="none"/>
                <w:lang w:val="en-US" w:eastAsia="zh-CN" w:bidi="ar-SA"/>
              </w:rPr>
            </w:pPr>
            <w:r>
              <w:rPr>
                <w:rFonts w:hint="eastAsia" w:ascii="仿宋" w:hAnsi="仿宋" w:eastAsia="仿宋" w:cs="仿宋"/>
                <w:i w:val="0"/>
                <w:caps w:val="0"/>
                <w:color w:val="auto"/>
                <w:spacing w:val="0"/>
                <w:sz w:val="24"/>
                <w:szCs w:val="24"/>
                <w:u w:val="none"/>
                <w:lang w:eastAsia="zh-CN"/>
              </w:rPr>
              <w:t>名称</w:t>
            </w:r>
          </w:p>
        </w:tc>
        <w:tc>
          <w:tcPr>
            <w:tcW w:w="855"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b w:val="0"/>
                <w:bCs w:val="0"/>
                <w:i w:val="0"/>
                <w:caps w:val="0"/>
                <w:color w:val="auto"/>
                <w:spacing w:val="0"/>
                <w:kern w:val="0"/>
                <w:sz w:val="24"/>
                <w:szCs w:val="24"/>
                <w:u w:val="none"/>
                <w:lang w:val="en-US" w:eastAsia="zh-CN" w:bidi="ar"/>
              </w:rPr>
            </w:pPr>
            <w:r>
              <w:rPr>
                <w:rFonts w:hint="eastAsia" w:ascii="仿宋" w:hAnsi="仿宋" w:eastAsia="仿宋" w:cs="仿宋"/>
                <w:b w:val="0"/>
                <w:bCs w:val="0"/>
                <w:i w:val="0"/>
                <w:caps w:val="0"/>
                <w:color w:val="auto"/>
                <w:spacing w:val="0"/>
                <w:kern w:val="0"/>
                <w:sz w:val="24"/>
                <w:szCs w:val="24"/>
                <w:u w:val="none"/>
                <w:lang w:val="en-US" w:eastAsia="zh-CN" w:bidi="ar"/>
              </w:rPr>
              <w:t>锚地</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b w:val="0"/>
                <w:bCs w:val="0"/>
                <w:i w:val="0"/>
                <w:caps w:val="0"/>
                <w:color w:val="auto"/>
                <w:spacing w:val="0"/>
                <w:kern w:val="0"/>
                <w:sz w:val="24"/>
                <w:szCs w:val="24"/>
                <w:u w:val="none"/>
                <w:lang w:val="en-US" w:eastAsia="zh-CN" w:bidi="ar"/>
              </w:rPr>
            </w:pPr>
            <w:r>
              <w:rPr>
                <w:rFonts w:hint="eastAsia" w:ascii="仿宋" w:hAnsi="仿宋" w:eastAsia="仿宋" w:cs="仿宋"/>
                <w:b w:val="0"/>
                <w:bCs w:val="0"/>
                <w:i w:val="0"/>
                <w:caps w:val="0"/>
                <w:color w:val="auto"/>
                <w:spacing w:val="0"/>
                <w:kern w:val="0"/>
                <w:sz w:val="24"/>
                <w:szCs w:val="24"/>
                <w:u w:val="none"/>
                <w:lang w:val="en-US" w:eastAsia="zh-CN" w:bidi="ar"/>
              </w:rPr>
              <w:t>性质</w:t>
            </w:r>
          </w:p>
        </w:tc>
        <w:tc>
          <w:tcPr>
            <w:tcW w:w="958"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b w:val="0"/>
                <w:bCs w:val="0"/>
                <w:i w:val="0"/>
                <w:caps w:val="0"/>
                <w:color w:val="auto"/>
                <w:spacing w:val="0"/>
                <w:kern w:val="0"/>
                <w:sz w:val="24"/>
                <w:szCs w:val="24"/>
                <w:u w:val="none"/>
                <w:lang w:val="en-US" w:eastAsia="zh-CN" w:bidi="ar"/>
              </w:rPr>
            </w:pPr>
            <w:r>
              <w:rPr>
                <w:rFonts w:hint="eastAsia" w:ascii="仿宋" w:hAnsi="仿宋" w:eastAsia="仿宋" w:cs="仿宋"/>
                <w:b w:val="0"/>
                <w:bCs w:val="0"/>
                <w:i w:val="0"/>
                <w:caps w:val="0"/>
                <w:color w:val="auto"/>
                <w:spacing w:val="0"/>
                <w:kern w:val="0"/>
                <w:sz w:val="24"/>
                <w:szCs w:val="24"/>
                <w:u w:val="none"/>
                <w:lang w:val="en-US" w:eastAsia="zh-CN" w:bidi="ar"/>
              </w:rPr>
              <w:t>锚地</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b w:val="0"/>
                <w:bCs w:val="0"/>
                <w:i w:val="0"/>
                <w:caps w:val="0"/>
                <w:color w:val="auto"/>
                <w:spacing w:val="0"/>
                <w:kern w:val="0"/>
                <w:sz w:val="24"/>
                <w:szCs w:val="24"/>
                <w:u w:val="none"/>
                <w:lang w:val="en-US" w:eastAsia="zh-CN" w:bidi="ar"/>
              </w:rPr>
            </w:pPr>
            <w:r>
              <w:rPr>
                <w:rFonts w:hint="eastAsia" w:ascii="仿宋" w:hAnsi="仿宋" w:eastAsia="仿宋" w:cs="仿宋"/>
                <w:b w:val="0"/>
                <w:bCs w:val="0"/>
                <w:i w:val="0"/>
                <w:caps w:val="0"/>
                <w:color w:val="auto"/>
                <w:spacing w:val="0"/>
                <w:kern w:val="0"/>
                <w:sz w:val="24"/>
                <w:szCs w:val="24"/>
                <w:u w:val="none"/>
                <w:lang w:val="en-US" w:eastAsia="zh-CN" w:bidi="ar"/>
              </w:rPr>
              <w:t>等级</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b w:val="0"/>
                <w:bCs w:val="0"/>
                <w:i w:val="0"/>
                <w:caps w:val="0"/>
                <w:color w:val="auto"/>
                <w:spacing w:val="0"/>
                <w:kern w:val="0"/>
                <w:sz w:val="24"/>
                <w:szCs w:val="24"/>
                <w:u w:val="none"/>
                <w:lang w:val="en-US" w:eastAsia="zh-CN" w:bidi="ar"/>
              </w:rPr>
            </w:pPr>
            <w:r>
              <w:rPr>
                <w:rFonts w:hint="eastAsia" w:ascii="仿宋" w:hAnsi="仿宋" w:eastAsia="仿宋" w:cs="仿宋"/>
                <w:b w:val="0"/>
                <w:bCs w:val="0"/>
                <w:i w:val="0"/>
                <w:caps w:val="0"/>
                <w:color w:val="auto"/>
                <w:spacing w:val="0"/>
                <w:kern w:val="0"/>
                <w:sz w:val="24"/>
                <w:szCs w:val="24"/>
                <w:u w:val="none"/>
                <w:lang w:val="en-US" w:eastAsia="zh-CN" w:bidi="ar"/>
              </w:rPr>
              <w:t>（万吨）</w:t>
            </w:r>
          </w:p>
        </w:tc>
        <w:tc>
          <w:tcPr>
            <w:tcW w:w="915"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b w:val="0"/>
                <w:bCs w:val="0"/>
                <w:i w:val="0"/>
                <w:caps w:val="0"/>
                <w:color w:val="auto"/>
                <w:spacing w:val="0"/>
                <w:kern w:val="0"/>
                <w:sz w:val="24"/>
                <w:szCs w:val="24"/>
                <w:u w:val="none"/>
                <w:lang w:val="en-US" w:eastAsia="zh-CN" w:bidi="ar"/>
              </w:rPr>
            </w:pPr>
            <w:r>
              <w:rPr>
                <w:rFonts w:hint="eastAsia" w:ascii="仿宋" w:hAnsi="仿宋" w:eastAsia="仿宋" w:cs="仿宋"/>
                <w:b w:val="0"/>
                <w:bCs w:val="0"/>
                <w:i w:val="0"/>
                <w:caps w:val="0"/>
                <w:color w:val="auto"/>
                <w:spacing w:val="0"/>
                <w:kern w:val="0"/>
                <w:sz w:val="24"/>
                <w:szCs w:val="24"/>
                <w:u w:val="none"/>
                <w:lang w:val="en-US" w:eastAsia="zh-CN" w:bidi="ar"/>
              </w:rPr>
              <w:t>锚地</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i w:val="0"/>
                <w:caps w:val="0"/>
                <w:color w:val="auto"/>
                <w:spacing w:val="0"/>
                <w:kern w:val="0"/>
                <w:sz w:val="24"/>
                <w:szCs w:val="24"/>
                <w:u w:val="none"/>
                <w:lang w:val="en-US" w:eastAsia="zh-CN" w:bidi="ar"/>
              </w:rPr>
              <w:t>面积（</w:t>
            </w:r>
            <w:r>
              <w:rPr>
                <w:rFonts w:hint="eastAsia" w:ascii="仿宋" w:hAnsi="仿宋" w:eastAsia="仿宋" w:cs="仿宋"/>
                <w:i w:val="0"/>
                <w:caps w:val="0"/>
                <w:color w:val="auto"/>
                <w:spacing w:val="0"/>
                <w:kern w:val="0"/>
                <w:sz w:val="24"/>
                <w:szCs w:val="24"/>
                <w:u w:val="none"/>
                <w:lang w:val="en-US" w:eastAsia="zh-CN" w:bidi="ar"/>
              </w:rPr>
              <w:t>km</w:t>
            </w:r>
            <w:r>
              <w:rPr>
                <w:rFonts w:hint="eastAsia" w:ascii="仿宋" w:hAnsi="仿宋" w:eastAsia="仿宋" w:cs="仿宋"/>
                <w:i w:val="0"/>
                <w:caps w:val="0"/>
                <w:color w:val="auto"/>
                <w:spacing w:val="0"/>
                <w:kern w:val="0"/>
                <w:sz w:val="24"/>
                <w:szCs w:val="24"/>
                <w:u w:val="none"/>
                <w:vertAlign w:val="superscript"/>
                <w:lang w:val="en-US" w:eastAsia="zh-CN" w:bidi="ar"/>
              </w:rPr>
              <w:t>2</w:t>
            </w:r>
            <w:r>
              <w:rPr>
                <w:rFonts w:hint="eastAsia" w:ascii="仿宋" w:hAnsi="仿宋" w:eastAsia="仿宋" w:cs="仿宋"/>
                <w:b w:val="0"/>
                <w:bCs w:val="0"/>
                <w:i w:val="0"/>
                <w:caps w:val="0"/>
                <w:color w:val="auto"/>
                <w:spacing w:val="0"/>
                <w:kern w:val="0"/>
                <w:sz w:val="24"/>
                <w:szCs w:val="24"/>
                <w:u w:val="none"/>
                <w:lang w:val="en-US" w:eastAsia="zh-CN" w:bidi="ar"/>
              </w:rPr>
              <w:t>）</w:t>
            </w:r>
          </w:p>
        </w:tc>
        <w:tc>
          <w:tcPr>
            <w:tcW w:w="81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i w:val="0"/>
                <w:caps w:val="0"/>
                <w:color w:val="auto"/>
                <w:spacing w:val="0"/>
                <w:kern w:val="0"/>
                <w:sz w:val="24"/>
                <w:szCs w:val="24"/>
                <w:u w:val="none"/>
                <w:lang w:val="en-US" w:eastAsia="zh-CN" w:bidi="ar"/>
              </w:rPr>
              <w:t>锚地水深（m）</w:t>
            </w:r>
          </w:p>
        </w:tc>
        <w:tc>
          <w:tcPr>
            <w:tcW w:w="840" w:type="dxa"/>
            <w:tcBorders>
              <w:tl2br w:val="nil"/>
              <w:tr2bl w:val="nil"/>
            </w:tcBorders>
            <w:vAlign w:val="center"/>
          </w:tcPr>
          <w:p>
            <w:pPr>
              <w:jc w:val="center"/>
              <w:rPr>
                <w:rFonts w:hint="eastAsia" w:ascii="仿宋" w:hAnsi="仿宋" w:eastAsia="仿宋" w:cs="仿宋"/>
                <w:b w:val="0"/>
                <w:bCs w:val="0"/>
                <w:i w:val="0"/>
                <w:caps w:val="0"/>
                <w:color w:val="auto"/>
                <w:spacing w:val="0"/>
                <w:sz w:val="24"/>
                <w:szCs w:val="24"/>
                <w:u w:val="none"/>
                <w:lang w:eastAsia="zh-CN"/>
              </w:rPr>
            </w:pPr>
            <w:r>
              <w:rPr>
                <w:rFonts w:hint="eastAsia" w:ascii="仿宋" w:hAnsi="仿宋" w:eastAsia="仿宋" w:cs="仿宋"/>
                <w:b w:val="0"/>
                <w:bCs w:val="0"/>
                <w:i w:val="0"/>
                <w:caps w:val="0"/>
                <w:color w:val="auto"/>
                <w:spacing w:val="0"/>
                <w:sz w:val="24"/>
                <w:szCs w:val="24"/>
                <w:u w:val="none"/>
                <w:lang w:eastAsia="zh-CN"/>
              </w:rPr>
              <w:t>设计锚位数量</w:t>
            </w:r>
          </w:p>
          <w:p>
            <w:pPr>
              <w:jc w:val="center"/>
              <w:rPr>
                <w:rFonts w:hint="eastAsia" w:ascii="仿宋" w:hAnsi="仿宋" w:eastAsia="仿宋" w:cs="仿宋"/>
                <w:b w:val="0"/>
                <w:bCs w:val="0"/>
                <w:i w:val="0"/>
                <w:caps w:val="0"/>
                <w:color w:val="auto"/>
                <w:spacing w:val="0"/>
                <w:sz w:val="24"/>
                <w:szCs w:val="24"/>
                <w:u w:val="none"/>
                <w:lang w:val="en-US" w:eastAsia="zh-CN"/>
              </w:rPr>
            </w:pPr>
            <w:r>
              <w:rPr>
                <w:rFonts w:hint="eastAsia" w:ascii="仿宋" w:hAnsi="仿宋" w:eastAsia="仿宋" w:cs="仿宋"/>
                <w:b w:val="0"/>
                <w:bCs w:val="0"/>
                <w:i w:val="0"/>
                <w:caps w:val="0"/>
                <w:color w:val="auto"/>
                <w:spacing w:val="0"/>
                <w:sz w:val="24"/>
                <w:szCs w:val="24"/>
                <w:u w:val="none"/>
                <w:lang w:eastAsia="zh-CN"/>
              </w:rPr>
              <w:t>（艘次）</w:t>
            </w:r>
          </w:p>
        </w:tc>
        <w:tc>
          <w:tcPr>
            <w:tcW w:w="3420" w:type="dxa"/>
            <w:tcBorders>
              <w:tl2br w:val="nil"/>
              <w:tr2bl w:val="nil"/>
            </w:tcBorders>
            <w:vAlign w:val="center"/>
          </w:tcPr>
          <w:p>
            <w:pPr>
              <w:jc w:val="center"/>
              <w:rPr>
                <w:rFonts w:hint="eastAsia" w:ascii="仿宋" w:hAnsi="仿宋" w:eastAsia="仿宋" w:cs="仿宋"/>
                <w:b w:val="0"/>
                <w:bCs w:val="0"/>
                <w:i w:val="0"/>
                <w:caps w:val="0"/>
                <w:color w:val="auto"/>
                <w:spacing w:val="0"/>
                <w:sz w:val="24"/>
                <w:szCs w:val="24"/>
                <w:u w:val="none"/>
                <w:lang w:val="en-US" w:eastAsia="zh-CN"/>
              </w:rPr>
            </w:pPr>
            <w:r>
              <w:rPr>
                <w:rFonts w:hint="eastAsia" w:ascii="仿宋" w:hAnsi="仿宋" w:eastAsia="仿宋" w:cs="仿宋"/>
                <w:b w:val="0"/>
                <w:bCs w:val="0"/>
                <w:i w:val="0"/>
                <w:caps w:val="0"/>
                <w:color w:val="auto"/>
                <w:spacing w:val="0"/>
                <w:sz w:val="24"/>
                <w:szCs w:val="24"/>
                <w:u w:val="none"/>
                <w:lang w:val="en-US" w:eastAsia="zh-CN"/>
              </w:rPr>
              <w:t>坐标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restart"/>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健</w:t>
            </w:r>
          </w:p>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跳</w:t>
            </w:r>
          </w:p>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港</w:t>
            </w:r>
          </w:p>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区</w:t>
            </w:r>
          </w:p>
        </w:tc>
        <w:tc>
          <w:tcPr>
            <w:tcW w:w="936" w:type="dxa"/>
            <w:tcBorders>
              <w:tl2br w:val="nil"/>
              <w:tr2bl w:val="nil"/>
            </w:tcBorders>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三门湾大中型船舶避风锚地1#</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避风</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0.3～2</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1.27</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4-20</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3-7</w:t>
            </w:r>
          </w:p>
        </w:tc>
        <w:tc>
          <w:tcPr>
            <w:tcW w:w="3420" w:type="dxa"/>
            <w:tcBorders>
              <w:tl2br w:val="nil"/>
              <w:tr2bl w:val="nil"/>
            </w:tcBorders>
            <w:vAlign w:val="center"/>
          </w:tcPr>
          <w:p>
            <w:pPr>
              <w:jc w:val="center"/>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color w:val="auto"/>
                <w:kern w:val="2"/>
                <w:sz w:val="24"/>
                <w:szCs w:val="24"/>
                <w:lang w:val="en-US" w:eastAsia="zh-CN" w:bidi="ar-SA"/>
              </w:rPr>
            </w:pPr>
            <w:r>
              <w:rPr>
                <w:rFonts w:hint="eastAsia" w:ascii="仿宋" w:hAnsi="仿宋" w:eastAsia="仿宋" w:cs="仿宋"/>
                <w:sz w:val="24"/>
                <w:szCs w:val="24"/>
                <w:vertAlign w:val="baseline"/>
                <w:lang w:val="en-US" w:eastAsia="zh-CN"/>
              </w:rPr>
              <w:t>三门湾大中型船舶避风锚地   2#</w:t>
            </w:r>
          </w:p>
        </w:tc>
        <w:tc>
          <w:tcPr>
            <w:tcW w:w="855"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i w:val="0"/>
                <w:caps w:val="0"/>
                <w:color w:val="auto"/>
                <w:spacing w:val="0"/>
                <w:kern w:val="0"/>
                <w:sz w:val="24"/>
                <w:szCs w:val="24"/>
                <w:u w:val="none"/>
                <w:lang w:val="en-US" w:eastAsia="zh-CN" w:bidi="ar"/>
              </w:rPr>
            </w:pPr>
            <w:r>
              <w:rPr>
                <w:rFonts w:hint="eastAsia" w:ascii="仿宋" w:hAnsi="仿宋" w:eastAsia="仿宋" w:cs="仿宋"/>
                <w:i w:val="0"/>
                <w:caps w:val="0"/>
                <w:color w:val="auto"/>
                <w:spacing w:val="0"/>
                <w:kern w:val="0"/>
                <w:sz w:val="24"/>
                <w:szCs w:val="24"/>
                <w:u w:val="none"/>
                <w:lang w:val="en-US" w:eastAsia="zh-CN" w:bidi="ar"/>
              </w:rPr>
              <w:t>避风</w:t>
            </w:r>
          </w:p>
        </w:tc>
        <w:tc>
          <w:tcPr>
            <w:tcW w:w="958"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i w:val="0"/>
                <w:caps w:val="0"/>
                <w:color w:val="auto"/>
                <w:spacing w:val="0"/>
                <w:kern w:val="0"/>
                <w:sz w:val="21"/>
                <w:szCs w:val="21"/>
                <w:u w:val="none"/>
                <w:lang w:val="en-US" w:eastAsia="zh-CN" w:bidi="ar"/>
              </w:rPr>
            </w:pPr>
            <w:r>
              <w:rPr>
                <w:rFonts w:hint="eastAsia" w:ascii="仿宋" w:hAnsi="仿宋" w:eastAsia="仿宋" w:cs="仿宋"/>
                <w:i w:val="0"/>
                <w:caps w:val="0"/>
                <w:color w:val="auto"/>
                <w:spacing w:val="0"/>
                <w:kern w:val="0"/>
                <w:sz w:val="21"/>
                <w:szCs w:val="21"/>
                <w:u w:val="none"/>
                <w:lang w:val="en-US" w:eastAsia="zh-CN" w:bidi="ar"/>
              </w:rPr>
              <w:t>2</w:t>
            </w:r>
          </w:p>
        </w:tc>
        <w:tc>
          <w:tcPr>
            <w:tcW w:w="915"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caps w:val="0"/>
                <w:color w:val="auto"/>
                <w:spacing w:val="0"/>
                <w:kern w:val="0"/>
                <w:sz w:val="21"/>
                <w:szCs w:val="21"/>
                <w:u w:val="none"/>
                <w:lang w:val="en-US" w:eastAsia="zh-CN" w:bidi="ar"/>
              </w:rPr>
              <w:t>4.38</w:t>
            </w:r>
          </w:p>
        </w:tc>
        <w:tc>
          <w:tcPr>
            <w:tcW w:w="81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caps w:val="0"/>
                <w:color w:val="auto"/>
                <w:spacing w:val="0"/>
                <w:kern w:val="0"/>
                <w:sz w:val="21"/>
                <w:szCs w:val="21"/>
                <w:u w:val="none"/>
                <w:lang w:val="en-US" w:eastAsia="zh-CN" w:bidi="ar"/>
              </w:rPr>
              <w:t>7-30</w:t>
            </w:r>
          </w:p>
        </w:tc>
        <w:tc>
          <w:tcPr>
            <w:tcW w:w="84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caps w:val="0"/>
                <w:color w:val="auto"/>
                <w:spacing w:val="0"/>
                <w:kern w:val="0"/>
                <w:sz w:val="21"/>
                <w:szCs w:val="21"/>
                <w:u w:val="none"/>
                <w:lang w:val="en-US" w:eastAsia="zh-CN" w:bidi="ar"/>
              </w:rPr>
              <w:t>8</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i w:val="0"/>
                <w:caps w:val="0"/>
                <w:color w:val="auto"/>
                <w:spacing w:val="0"/>
                <w:kern w:val="0"/>
                <w:sz w:val="21"/>
                <w:szCs w:val="21"/>
                <w:u w:val="none"/>
                <w:lang w:val="en-US" w:eastAsia="zh-CN" w:bidi="ar"/>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kern w:val="2"/>
                <w:sz w:val="24"/>
                <w:szCs w:val="24"/>
                <w:lang w:val="en-US" w:eastAsia="zh-CN" w:bidi="ar-SA"/>
              </w:rPr>
            </w:pPr>
            <w:r>
              <w:rPr>
                <w:rFonts w:hint="eastAsia" w:ascii="仿宋" w:hAnsi="仿宋" w:eastAsia="仿宋" w:cs="仿宋"/>
                <w:i w:val="0"/>
                <w:caps w:val="0"/>
                <w:color w:val="auto"/>
                <w:spacing w:val="0"/>
                <w:kern w:val="0"/>
                <w:sz w:val="24"/>
                <w:szCs w:val="24"/>
                <w:u w:val="none"/>
                <w:lang w:val="en-US" w:eastAsia="zh-CN" w:bidi="ar"/>
              </w:rPr>
              <w:t>三门大甲山待泊锚地</w:t>
            </w:r>
          </w:p>
        </w:tc>
        <w:tc>
          <w:tcPr>
            <w:tcW w:w="855"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i w:val="0"/>
                <w:caps w:val="0"/>
                <w:color w:val="auto"/>
                <w:spacing w:val="0"/>
                <w:kern w:val="0"/>
                <w:sz w:val="24"/>
                <w:szCs w:val="24"/>
                <w:u w:val="none"/>
                <w:lang w:val="en-US" w:eastAsia="zh-CN" w:bidi="ar"/>
              </w:rPr>
            </w:pPr>
            <w:r>
              <w:rPr>
                <w:rFonts w:hint="eastAsia" w:ascii="仿宋" w:hAnsi="仿宋" w:eastAsia="仿宋" w:cs="仿宋"/>
                <w:i w:val="0"/>
                <w:caps w:val="0"/>
                <w:color w:val="auto"/>
                <w:spacing w:val="0"/>
                <w:kern w:val="0"/>
                <w:sz w:val="24"/>
                <w:szCs w:val="24"/>
                <w:u w:val="none"/>
                <w:lang w:val="en-US" w:eastAsia="zh-CN" w:bidi="ar"/>
              </w:rPr>
              <w:t>待泊</w:t>
            </w:r>
          </w:p>
        </w:tc>
        <w:tc>
          <w:tcPr>
            <w:tcW w:w="958"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i w:val="0"/>
                <w:caps w:val="0"/>
                <w:color w:val="auto"/>
                <w:spacing w:val="0"/>
                <w:kern w:val="0"/>
                <w:sz w:val="21"/>
                <w:szCs w:val="21"/>
                <w:u w:val="none"/>
                <w:lang w:val="en-US" w:eastAsia="zh-CN" w:bidi="ar"/>
              </w:rPr>
            </w:pPr>
            <w:r>
              <w:rPr>
                <w:rFonts w:hint="eastAsia" w:ascii="仿宋" w:hAnsi="仿宋" w:eastAsia="仿宋" w:cs="仿宋"/>
                <w:i w:val="0"/>
                <w:caps w:val="0"/>
                <w:color w:val="auto"/>
                <w:spacing w:val="0"/>
                <w:kern w:val="0"/>
                <w:sz w:val="21"/>
                <w:szCs w:val="21"/>
                <w:u w:val="none"/>
                <w:lang w:val="en-US" w:eastAsia="zh-CN" w:bidi="ar"/>
              </w:rPr>
              <w:t>1</w:t>
            </w:r>
          </w:p>
        </w:tc>
        <w:tc>
          <w:tcPr>
            <w:tcW w:w="915"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caps w:val="0"/>
                <w:color w:val="auto"/>
                <w:spacing w:val="0"/>
                <w:kern w:val="0"/>
                <w:sz w:val="21"/>
                <w:szCs w:val="21"/>
                <w:u w:val="none"/>
                <w:lang w:val="en-US" w:eastAsia="zh-CN" w:bidi="ar"/>
              </w:rPr>
              <w:t>6.38</w:t>
            </w:r>
          </w:p>
        </w:tc>
        <w:tc>
          <w:tcPr>
            <w:tcW w:w="81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i w:val="0"/>
                <w:caps w:val="0"/>
                <w:color w:val="auto"/>
                <w:spacing w:val="0"/>
                <w:kern w:val="0"/>
                <w:sz w:val="21"/>
                <w:szCs w:val="21"/>
                <w:u w:val="none"/>
                <w:lang w:val="en-US" w:eastAsia="zh-CN" w:bidi="ar"/>
              </w:rPr>
            </w:pPr>
            <w:r>
              <w:rPr>
                <w:rFonts w:hint="eastAsia" w:ascii="仿宋" w:hAnsi="仿宋" w:eastAsia="仿宋" w:cs="仿宋"/>
                <w:i w:val="0"/>
                <w:caps w:val="0"/>
                <w:color w:val="auto"/>
                <w:spacing w:val="0"/>
                <w:kern w:val="0"/>
                <w:sz w:val="21"/>
                <w:szCs w:val="21"/>
                <w:u w:val="none"/>
                <w:lang w:val="en-US" w:eastAsia="zh-CN" w:bidi="ar"/>
              </w:rPr>
              <w:t>6.1-</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caps w:val="0"/>
                <w:color w:val="auto"/>
                <w:spacing w:val="0"/>
                <w:kern w:val="0"/>
                <w:sz w:val="21"/>
                <w:szCs w:val="21"/>
                <w:u w:val="none"/>
                <w:lang w:val="en-US" w:eastAsia="zh-CN" w:bidi="ar"/>
              </w:rPr>
              <w:t>8.3</w:t>
            </w:r>
          </w:p>
        </w:tc>
        <w:tc>
          <w:tcPr>
            <w:tcW w:w="84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caps w:val="0"/>
                <w:color w:val="auto"/>
                <w:spacing w:val="0"/>
                <w:kern w:val="0"/>
                <w:sz w:val="21"/>
                <w:szCs w:val="21"/>
                <w:u w:val="none"/>
                <w:lang w:val="en-US" w:eastAsia="zh-CN" w:bidi="ar"/>
              </w:rPr>
              <w:t>9</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29°01′30″N/121°48′04″E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29°02′48″N/121°45′00″E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29°02′48″N/121°47′00″E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i w:val="0"/>
                <w:caps w:val="0"/>
                <w:color w:val="auto"/>
                <w:spacing w:val="0"/>
                <w:kern w:val="0"/>
                <w:sz w:val="21"/>
                <w:szCs w:val="21"/>
                <w:u w:val="none"/>
                <w:lang w:val="en-US" w:eastAsia="zh-CN" w:bidi="ar"/>
              </w:rPr>
            </w:pPr>
            <w:r>
              <w:rPr>
                <w:rFonts w:hint="eastAsia" w:ascii="仿宋" w:hAnsi="仿宋" w:eastAsia="仿宋" w:cs="仿宋"/>
                <w:i w:val="0"/>
                <w:caps w:val="0"/>
                <w:color w:val="auto"/>
                <w:spacing w:val="0"/>
                <w:kern w:val="0"/>
                <w:sz w:val="21"/>
                <w:szCs w:val="21"/>
                <w:u w:val="none"/>
                <w:lang w:val="en-US" w:eastAsia="zh-CN" w:bidi="ar"/>
              </w:rPr>
              <w:t>29°01′30″N/121°46′48″E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restart"/>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头门港区</w:t>
            </w: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头门东待泊锚地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候潮、待泊</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5～7</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16</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20</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15</w:t>
            </w:r>
          </w:p>
        </w:tc>
        <w:tc>
          <w:tcPr>
            <w:tcW w:w="3420" w:type="dxa"/>
            <w:tcBorders>
              <w:tl2br w:val="nil"/>
              <w:tr2bl w:val="nil"/>
            </w:tcBorders>
            <w:vAlign w:val="center"/>
          </w:tcPr>
          <w:p>
            <w:pPr>
              <w:jc w:val="center"/>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p>
            <w:pPr>
              <w:jc w:val="both"/>
              <w:rPr>
                <w:rFonts w:hint="eastAsia" w:ascii="仿宋" w:hAnsi="仿宋" w:eastAsia="仿宋" w:cs="仿宋"/>
                <w:sz w:val="21"/>
                <w:szCs w:val="21"/>
                <w:vertAlign w:val="baseline"/>
                <w:lang w:val="en-US" w:eastAsia="zh-CN"/>
              </w:rPr>
            </w:pPr>
          </w:p>
          <w:p>
            <w:pPr>
              <w:jc w:val="both"/>
              <w:rPr>
                <w:rFonts w:hint="eastAsia" w:ascii="仿宋" w:hAnsi="仿宋" w:eastAsia="仿宋" w:cs="仿宋"/>
                <w:sz w:val="21"/>
                <w:szCs w:val="21"/>
                <w:vertAlign w:val="baseline"/>
                <w:lang w:val="en-US" w:eastAsia="zh-CN"/>
              </w:rPr>
            </w:pPr>
          </w:p>
          <w:p>
            <w:pPr>
              <w:jc w:val="both"/>
              <w:rPr>
                <w:rFonts w:hint="eastAsia" w:ascii="仿宋" w:hAnsi="仿宋" w:eastAsia="仿宋" w:cs="仿宋"/>
                <w:sz w:val="21"/>
                <w:szCs w:val="21"/>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头门山以北驳载锚地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过驳</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2.7</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6.9-</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12.4</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7</w:t>
            </w:r>
          </w:p>
        </w:tc>
        <w:tc>
          <w:tcPr>
            <w:tcW w:w="342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以28°43′18″N/121°47′42″E为圆心,以0.5海</w:t>
            </w:r>
            <w:r>
              <w:rPr>
                <w:rFonts w:hint="eastAsia" w:ascii="仿宋" w:hAnsi="仿宋" w:eastAsia="仿宋" w:cs="仿宋"/>
                <w:i w:val="0"/>
                <w:caps w:val="0"/>
                <w:color w:val="auto"/>
                <w:spacing w:val="-40"/>
                <w:kern w:val="0"/>
                <w:sz w:val="21"/>
                <w:szCs w:val="21"/>
                <w:u w:val="none"/>
                <w:lang w:val="en-US" w:eastAsia="zh-CN" w:bidi="ar"/>
              </w:rPr>
              <w:t>里 </w:t>
            </w:r>
            <w:r>
              <w:rPr>
                <w:rFonts w:hint="eastAsia" w:ascii="仿宋" w:hAnsi="仿宋" w:eastAsia="仿宋" w:cs="仿宋"/>
                <w:i w:val="0"/>
                <w:caps w:val="0"/>
                <w:color w:val="auto"/>
                <w:spacing w:val="0"/>
                <w:kern w:val="0"/>
                <w:sz w:val="21"/>
                <w:szCs w:val="21"/>
                <w:u w:val="none"/>
                <w:lang w:val="en-US" w:eastAsia="zh-CN" w:bidi="ar"/>
              </w:rPr>
              <w:t>为半径的水域范围。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restart"/>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海门港区</w:t>
            </w: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点灯候潮锚地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过驳、候潮</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0.1～0.5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4.5</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4-8</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12-</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18</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28°41′06″N/121°44′18″E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28°41′06″N/121°45′42″E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28°40′18″N/121°45′42″E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28°40′18″N/121°44′18″E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台州第一引航检疫锚地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引航、联检</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10.7</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4-8</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28</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28°40′12″N/121°45′18″E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28°39′12″N/121°45′18″E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28°39′12″N/121°47′18″E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28°40′12″N/121°47′18″E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危险品锚地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危险品船舶的候潮</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0.2</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9.2</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4-7</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26</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28°38′12″N/121°44′12″E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28°38′12″N/121°46′00″E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28°39′00″N/121°46′00″E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28°39′00″N/121°44′12″E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海门港区大型机动船锚地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避风</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0.2</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8.4-</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10.6</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28°41′35″N/121°26′57″E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28°41′21″N/121°27′27″E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28°41′27.5″N/121°26′57″E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28°41′29″N/121°27′27″E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海门港区机动船锚地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避风</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0.3</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0.28</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5.4-</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8.9</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28°41′46″N/121°26′28″E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28°41′41″N/121°26′42″E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28°41′35″N/121°26′57″E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28°41′27.5″N/121°26′57″E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28°41′27″N/121°26′42″E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28°41′28″N/121°26′15″E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海门港区小型机动船锚地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避风</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0.1</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0.6</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1.8-</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3.2</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10</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28°41′33″N/121°26′06″E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28°41′44″N/121°25′24″E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28°41′53″N/121°26′06″E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28°42′01″N/121°25′24″E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restart"/>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大陈水域</w:t>
            </w: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大陈1号锚地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避风</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0.55</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5-</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15.6</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28°27′59″N/121°52′26″E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28°28′14″N/121°52′14″E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28°27′38″N/121°51′53″E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28°27′51″N/121°51′40″E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大陈3号锚地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避风</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0.05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0.12</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1.2-</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3.3</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w:t>
            </w:r>
          </w:p>
        </w:tc>
        <w:tc>
          <w:tcPr>
            <w:tcW w:w="3420" w:type="dxa"/>
            <w:tcBorders>
              <w:tl2br w:val="nil"/>
              <w:tr2bl w:val="nil"/>
            </w:tcBorders>
            <w:vAlign w:val="center"/>
          </w:tcPr>
          <w:p>
            <w:pPr>
              <w:jc w:val="center"/>
              <w:rPr>
                <w:rFonts w:hint="eastAsia" w:ascii="仿宋" w:hAnsi="仿宋" w:eastAsia="仿宋" w:cs="仿宋"/>
                <w:sz w:val="21"/>
                <w:szCs w:val="21"/>
                <w:vertAlign w:val="baseline"/>
                <w:lang w:val="en-US" w:eastAsia="zh-CN"/>
              </w:rPr>
            </w:pPr>
          </w:p>
          <w:p>
            <w:pPr>
              <w:jc w:val="both"/>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kern w:val="2"/>
                <w:sz w:val="24"/>
                <w:szCs w:val="24"/>
                <w:vertAlign w:val="baseline"/>
                <w:lang w:val="en-US" w:eastAsia="zh-CN" w:bidi="ar-SA"/>
              </w:rPr>
            </w:pPr>
            <w:r>
              <w:rPr>
                <w:rFonts w:hint="eastAsia" w:ascii="仿宋" w:hAnsi="仿宋" w:eastAsia="仿宋" w:cs="仿宋"/>
                <w:sz w:val="24"/>
                <w:szCs w:val="24"/>
                <w:vertAlign w:val="baseline"/>
                <w:lang w:val="en-US" w:eastAsia="zh-CN"/>
              </w:rPr>
              <w:t>大陈4号锚地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避风</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1.4</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16-25</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28°28′14″N/121°54′15″E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28°28′43″N/121°53′56″E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28°28′25″N/121°53′22″E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28°27′45″N/121°53′27″E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kern w:val="2"/>
                <w:sz w:val="24"/>
                <w:szCs w:val="24"/>
                <w:vertAlign w:val="baseline"/>
                <w:lang w:val="en-US" w:eastAsia="zh-CN" w:bidi="ar-SA"/>
              </w:rPr>
            </w:pPr>
            <w:r>
              <w:rPr>
                <w:rFonts w:hint="eastAsia" w:ascii="仿宋" w:hAnsi="仿宋" w:eastAsia="仿宋" w:cs="仿宋"/>
                <w:sz w:val="24"/>
                <w:szCs w:val="24"/>
                <w:vertAlign w:val="baseline"/>
                <w:lang w:val="en-US" w:eastAsia="zh-CN"/>
              </w:rPr>
              <w:t>大陈5号锚地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国际船舶鲜活海产品交易</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0.1～0.3</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0.8</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2.9-9</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w:t>
            </w:r>
          </w:p>
        </w:tc>
        <w:tc>
          <w:tcPr>
            <w:tcW w:w="3420" w:type="dxa"/>
            <w:tcBorders>
              <w:tl2br w:val="nil"/>
              <w:tr2bl w:val="nil"/>
            </w:tcBorders>
            <w:vAlign w:val="center"/>
          </w:tcPr>
          <w:p>
            <w:pPr>
              <w:jc w:val="center"/>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台州第二引航检疫锚地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引航、检疫</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1.0</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9-</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19.4</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1-2</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28°27′19″N/121°51′57″E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28°26′59″N/121°52′20″E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28°27′27″N/121°52′56″E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28°27′48″N/121°52′37″E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restart"/>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温岭沿海</w:t>
            </w: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温岭粗砂头港鲜活海产品发运锚地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过驳</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0.05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0.13</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28°16′14″N/121°37′12″E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28°16′08″N/121°37′12″E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28°16′08″N/121°37′34″E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28°16′16″N/121°37′34″E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温岭礁山引航检疫锚地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引航、检疫</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0.05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0.36</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28°21′16″N/121°39′34″E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28°21′13″N/121°40′01″E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28°21′02″N/121°39′30″E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28°20′57″N/121°39′58″E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restart"/>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大麦屿港区</w:t>
            </w: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大麦屿3号锚地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待泊</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1.66</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5</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8</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28°09′02″N/121°08′58″E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28°09′30″N/121°08′43″E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28°09′06″N/121°07′39″E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28°08′43″N/121°07′54″E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大麦屿4号锚地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待泊</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9.57</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4-17</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20</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28°07′39″N/121°05′24″E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28°07′39″N/121°06′21″E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28°05′00″N/121°07′02″E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28°05′00″N/121°05′39″E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大麦屿5号锚地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待泊</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6.65</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4.3-</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30.4</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5</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28°03′11″N/121°05′44″E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28°03′24″N/121°07′24″E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28°02′02″N/121°07′48″E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28°01′48″N/121°05′51″E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大麦屿引航检疫锚地</w:t>
            </w:r>
          </w:p>
        </w:tc>
        <w:tc>
          <w:tcPr>
            <w:tcW w:w="855" w:type="dxa"/>
            <w:tcBorders>
              <w:tl2br w:val="nil"/>
              <w:tr2bl w:val="nil"/>
            </w:tcBorders>
            <w:vAlign w:val="center"/>
          </w:tcPr>
          <w:p>
            <w:pPr>
              <w:jc w:val="center"/>
              <w:rPr>
                <w:rFonts w:hint="eastAsia" w:ascii="仿宋" w:hAnsi="仿宋" w:eastAsia="仿宋" w:cs="仿宋"/>
                <w:kern w:val="2"/>
                <w:sz w:val="24"/>
                <w:szCs w:val="24"/>
                <w:vertAlign w:val="baseline"/>
                <w:lang w:val="en-US" w:eastAsia="zh-CN" w:bidi="ar-SA"/>
              </w:rPr>
            </w:pPr>
            <w:r>
              <w:rPr>
                <w:rFonts w:hint="eastAsia" w:ascii="仿宋" w:hAnsi="仿宋" w:eastAsia="仿宋" w:cs="仿宋"/>
                <w:sz w:val="24"/>
                <w:szCs w:val="24"/>
                <w:vertAlign w:val="baseline"/>
                <w:lang w:val="en-US" w:eastAsia="zh-CN"/>
              </w:rPr>
              <w:t>引航、检疫</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2.01</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9.6-</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17.2</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6</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28°03′03″N/121°13′00″E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28°02′45″N/121°11′42″E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28°02′12″N/121°11′31″E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28°02′12″N/121°12′48″E</w:t>
            </w:r>
          </w:p>
        </w:tc>
      </w:tr>
    </w:tbl>
    <w:p>
      <w:pPr>
        <w:bidi w:val="0"/>
        <w:spacing w:line="360" w:lineRule="auto"/>
        <w:jc w:val="both"/>
        <w:rPr>
          <w:rFonts w:hint="eastAsia" w:ascii="仿宋" w:hAnsi="仿宋" w:eastAsia="仿宋" w:cs="仿宋"/>
          <w:color w:val="auto"/>
          <w:sz w:val="28"/>
          <w:szCs w:val="28"/>
          <w:lang w:val="en-US" w:eastAsia="zh-CN"/>
        </w:rPr>
      </w:pPr>
    </w:p>
    <w:p>
      <w:pPr>
        <w:bidi w:val="0"/>
        <w:spacing w:line="360" w:lineRule="auto"/>
        <w:ind w:firstLine="562" w:firstLineChars="200"/>
        <w:jc w:val="both"/>
        <w:outlineLvl w:val="1"/>
        <w:rPr>
          <w:rFonts w:hint="eastAsia" w:ascii="仿宋" w:hAnsi="仿宋" w:eastAsia="仿宋" w:cs="仿宋"/>
          <w:b/>
          <w:bCs/>
          <w:color w:val="auto"/>
          <w:sz w:val="28"/>
          <w:szCs w:val="28"/>
        </w:rPr>
      </w:pPr>
      <w:bookmarkStart w:id="18" w:name="_Toc9235"/>
      <w:r>
        <w:rPr>
          <w:rFonts w:hint="eastAsia" w:ascii="仿宋" w:hAnsi="仿宋" w:eastAsia="仿宋" w:cs="仿宋"/>
          <w:b/>
          <w:bCs/>
          <w:color w:val="auto"/>
          <w:sz w:val="28"/>
          <w:szCs w:val="28"/>
          <w:lang w:val="en-US" w:eastAsia="zh-CN"/>
        </w:rPr>
        <w:t xml:space="preserve">2.6 </w:t>
      </w:r>
      <w:r>
        <w:rPr>
          <w:rFonts w:hint="eastAsia" w:ascii="仿宋" w:hAnsi="仿宋" w:eastAsia="仿宋" w:cs="仿宋"/>
          <w:b/>
          <w:bCs/>
          <w:color w:val="auto"/>
          <w:sz w:val="28"/>
          <w:szCs w:val="28"/>
        </w:rPr>
        <w:t>台州海域环境敏感资源情况</w:t>
      </w:r>
      <w:bookmarkEnd w:id="18"/>
    </w:p>
    <w:p>
      <w:pPr>
        <w:bidi w:val="0"/>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台州市海域辽阔，海岸线曲折漫长，岛屿众多</w:t>
      </w:r>
      <w:r>
        <w:rPr>
          <w:rFonts w:hint="eastAsia" w:ascii="仿宋" w:hAnsi="仿宋" w:eastAsia="仿宋" w:cs="仿宋"/>
          <w:color w:val="auto"/>
          <w:sz w:val="28"/>
          <w:szCs w:val="28"/>
          <w:lang w:eastAsia="zh-CN"/>
        </w:rPr>
        <w:t>，分布着众多</w:t>
      </w:r>
      <w:r>
        <w:rPr>
          <w:rFonts w:hint="eastAsia" w:ascii="仿宋" w:hAnsi="仿宋" w:eastAsia="仿宋" w:cs="仿宋"/>
          <w:color w:val="auto"/>
          <w:sz w:val="28"/>
          <w:szCs w:val="28"/>
        </w:rPr>
        <w:t>环境敏感资源</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主要有：</w:t>
      </w:r>
    </w:p>
    <w:p>
      <w:pPr>
        <w:bidi w:val="0"/>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2.6.1 </w:t>
      </w:r>
      <w:r>
        <w:rPr>
          <w:rFonts w:hint="eastAsia" w:ascii="仿宋" w:hAnsi="仿宋" w:eastAsia="仿宋" w:cs="仿宋"/>
          <w:color w:val="auto"/>
          <w:sz w:val="28"/>
          <w:szCs w:val="28"/>
        </w:rPr>
        <w:t>海洋和海岸自然生态重点保护区：玉环滩涂湿地生态功能保护区，最优先保护。</w:t>
      </w:r>
    </w:p>
    <w:p>
      <w:pPr>
        <w:bidi w:val="0"/>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2.6.2 </w:t>
      </w:r>
      <w:r>
        <w:rPr>
          <w:rFonts w:hint="eastAsia" w:ascii="仿宋" w:hAnsi="仿宋" w:eastAsia="仿宋" w:cs="仿宋"/>
          <w:color w:val="auto"/>
          <w:sz w:val="28"/>
          <w:szCs w:val="28"/>
        </w:rPr>
        <w:t>自然遗迹和非生物自然保护区：健跳古城海防史迹保护区、上盘翼龙化石产地保护区、临海桃渚城抗倭遗址海防史迹保护区和桃渚珊瑚岩地质保护区等，优先保护。</w:t>
      </w:r>
    </w:p>
    <w:p>
      <w:pPr>
        <w:bidi w:val="0"/>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2.6.3 </w:t>
      </w:r>
      <w:r>
        <w:rPr>
          <w:rFonts w:hint="eastAsia" w:ascii="仿宋" w:hAnsi="仿宋" w:eastAsia="仿宋" w:cs="仿宋"/>
          <w:color w:val="auto"/>
          <w:sz w:val="28"/>
          <w:szCs w:val="28"/>
        </w:rPr>
        <w:t>海洋特别保护区：大陈岛海洋特别保护区</w:t>
      </w:r>
      <w:r>
        <w:rPr>
          <w:rFonts w:hint="eastAsia" w:ascii="仿宋" w:hAnsi="仿宋" w:eastAsia="仿宋" w:cs="仿宋"/>
          <w:color w:val="auto"/>
          <w:sz w:val="28"/>
          <w:szCs w:val="28"/>
          <w:lang w:eastAsia="zh-CN"/>
        </w:rPr>
        <w:t>、披</w:t>
      </w:r>
      <w:r>
        <w:rPr>
          <w:rFonts w:hint="eastAsia" w:ascii="仿宋" w:hAnsi="仿宋" w:eastAsia="仿宋" w:cs="仿宋"/>
          <w:color w:val="auto"/>
          <w:sz w:val="28"/>
          <w:szCs w:val="28"/>
        </w:rPr>
        <w:t>山海洋特别保护区</w:t>
      </w:r>
      <w:r>
        <w:rPr>
          <w:rFonts w:hint="eastAsia" w:ascii="仿宋" w:hAnsi="仿宋" w:eastAsia="仿宋" w:cs="仿宋"/>
          <w:color w:val="auto"/>
          <w:sz w:val="28"/>
          <w:szCs w:val="28"/>
          <w:lang w:eastAsia="zh-CN"/>
        </w:rPr>
        <w:t>、</w:t>
      </w:r>
      <w:r>
        <w:rPr>
          <w:rFonts w:hint="eastAsia" w:ascii="仿宋" w:hAnsi="仿宋" w:eastAsia="仿宋" w:cs="仿宋"/>
          <w:b w:val="0"/>
          <w:bCs w:val="0"/>
          <w:sz w:val="28"/>
          <w:szCs w:val="28"/>
          <w:lang w:val="en-US" w:eastAsia="zh-CN"/>
        </w:rPr>
        <w:t>临海市内与椒江区内的东海水产种质资源海洋保护区</w:t>
      </w:r>
      <w:r>
        <w:rPr>
          <w:rFonts w:hint="eastAsia" w:ascii="仿宋" w:hAnsi="仿宋" w:eastAsia="仿宋" w:cs="仿宋"/>
          <w:color w:val="auto"/>
          <w:sz w:val="28"/>
          <w:szCs w:val="28"/>
        </w:rPr>
        <w:t>最优先保护。</w:t>
      </w:r>
    </w:p>
    <w:p>
      <w:pPr>
        <w:bidi w:val="0"/>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2.6.4 </w:t>
      </w:r>
      <w:r>
        <w:rPr>
          <w:rFonts w:hint="eastAsia" w:ascii="仿宋" w:hAnsi="仿宋" w:eastAsia="仿宋" w:cs="仿宋"/>
          <w:color w:val="auto"/>
          <w:sz w:val="28"/>
          <w:szCs w:val="28"/>
        </w:rPr>
        <w:t>渔业资源利用和养护区：渔港和渔业设施设备库建设区主要有健跳渔港建设区、大陈渔港建设区、温岭中心渔港建设区和坎门中心渔港建设区；养殖区主要有三门湾、浦坝港养殖区，东矶列岛养殖区，北洋涂养殖区，大陈岛养殖区，漩门湾、乐清湾养殖区和鸡山、披山养殖区等；增殖区主要有东矶列岛增殖区、大陈岛增殖区、披山增殖区和三蒜岛增殖区等，最优先保护。</w:t>
      </w:r>
    </w:p>
    <w:p>
      <w:pPr>
        <w:pStyle w:val="20"/>
        <w:numPr>
          <w:ilvl w:val="0"/>
          <w:numId w:val="0"/>
        </w:numPr>
        <w:tabs>
          <w:tab w:val="left" w:pos="1482"/>
        </w:tabs>
        <w:spacing w:before="0" w:after="0" w:line="360" w:lineRule="auto"/>
        <w:ind w:right="481" w:rightChars="0" w:firstLine="536" w:firstLineChars="200"/>
        <w:jc w:val="both"/>
        <w:rPr>
          <w:rFonts w:hint="eastAsia" w:ascii="仿宋" w:hAnsi="仿宋" w:eastAsia="仿宋" w:cs="仿宋"/>
          <w:color w:val="auto"/>
          <w:spacing w:val="-6"/>
          <w:sz w:val="28"/>
          <w:szCs w:val="28"/>
        </w:rPr>
      </w:pPr>
      <w:r>
        <w:rPr>
          <w:rFonts w:hint="eastAsia" w:ascii="仿宋" w:hAnsi="仿宋" w:eastAsia="仿宋" w:cs="仿宋"/>
          <w:color w:val="auto"/>
          <w:spacing w:val="-6"/>
          <w:sz w:val="28"/>
          <w:szCs w:val="28"/>
          <w:lang w:val="en-US" w:eastAsia="zh-CN"/>
        </w:rPr>
        <w:t xml:space="preserve">2.6.5 </w:t>
      </w:r>
      <w:r>
        <w:rPr>
          <w:rFonts w:hint="eastAsia" w:ascii="仿宋" w:hAnsi="仿宋" w:eastAsia="仿宋" w:cs="仿宋"/>
          <w:color w:val="auto"/>
          <w:spacing w:val="-6"/>
          <w:sz w:val="28"/>
          <w:szCs w:val="28"/>
        </w:rPr>
        <w:t>旅游风景区：三门湾风景旅游区、桃渚风景旅游区、大陈岛风景旅游区、温岭东南滨海风景旅游区、大鹿岛风景旅游区和乐清湾风景旅游区等，优先保护。</w:t>
      </w:r>
    </w:p>
    <w:p>
      <w:pPr>
        <w:pStyle w:val="20"/>
        <w:numPr>
          <w:ilvl w:val="0"/>
          <w:numId w:val="0"/>
        </w:numPr>
        <w:tabs>
          <w:tab w:val="left" w:pos="1482"/>
        </w:tabs>
        <w:spacing w:before="0" w:after="0" w:line="360" w:lineRule="auto"/>
        <w:ind w:right="481" w:rightChars="0" w:firstLine="536" w:firstLineChars="200"/>
        <w:jc w:val="both"/>
        <w:rPr>
          <w:rFonts w:hint="eastAsia" w:ascii="仿宋" w:hAnsi="仿宋" w:eastAsia="仿宋" w:cs="仿宋"/>
          <w:color w:val="auto"/>
          <w:sz w:val="28"/>
          <w:szCs w:val="28"/>
          <w:lang w:eastAsia="zh-CN"/>
        </w:rPr>
      </w:pPr>
      <w:r>
        <w:rPr>
          <w:rFonts w:hint="eastAsia" w:ascii="仿宋" w:hAnsi="仿宋" w:eastAsia="仿宋" w:cs="仿宋"/>
          <w:color w:val="auto"/>
          <w:spacing w:val="-6"/>
          <w:sz w:val="28"/>
          <w:szCs w:val="28"/>
          <w:lang w:val="en-US" w:eastAsia="zh-CN"/>
        </w:rPr>
        <w:t xml:space="preserve">2.6.6 </w:t>
      </w:r>
      <w:r>
        <w:rPr>
          <w:rFonts w:hint="eastAsia" w:ascii="仿宋" w:hAnsi="仿宋" w:eastAsia="仿宋" w:cs="仿宋"/>
          <w:color w:val="auto"/>
          <w:spacing w:val="-6"/>
          <w:sz w:val="28"/>
          <w:szCs w:val="28"/>
        </w:rPr>
        <w:t>海水利用区：玉环盐场和大陈岛特殊工业用水区、温岭特殊</w:t>
      </w:r>
      <w:r>
        <w:rPr>
          <w:rFonts w:hint="eastAsia" w:ascii="仿宋" w:hAnsi="仿宋" w:eastAsia="仿宋" w:cs="仿宋"/>
          <w:color w:val="auto"/>
          <w:sz w:val="28"/>
          <w:szCs w:val="28"/>
        </w:rPr>
        <w:t>工业用水区和玉环特殊工业用水区，最优先保护</w:t>
      </w:r>
      <w:bookmarkStart w:id="19" w:name="_Toc16749"/>
      <w:bookmarkStart w:id="20" w:name="_Toc6387"/>
      <w:r>
        <w:rPr>
          <w:rFonts w:hint="eastAsia" w:ascii="仿宋" w:hAnsi="仿宋" w:eastAsia="仿宋" w:cs="仿宋"/>
          <w:color w:val="auto"/>
          <w:sz w:val="28"/>
          <w:szCs w:val="28"/>
          <w:lang w:eastAsia="zh-CN"/>
        </w:rPr>
        <w:t>。</w:t>
      </w:r>
    </w:p>
    <w:p>
      <w:pPr>
        <w:pStyle w:val="20"/>
        <w:numPr>
          <w:ilvl w:val="0"/>
          <w:numId w:val="0"/>
        </w:numPr>
        <w:tabs>
          <w:tab w:val="left" w:pos="1482"/>
        </w:tabs>
        <w:spacing w:before="0" w:after="0" w:line="360" w:lineRule="auto"/>
        <w:ind w:right="481" w:rightChars="0" w:firstLine="560" w:firstLineChars="200"/>
        <w:jc w:val="both"/>
        <w:rPr>
          <w:rFonts w:hint="eastAsia" w:ascii="仿宋" w:hAnsi="仿宋" w:eastAsia="仿宋" w:cs="仿宋"/>
          <w:color w:val="auto"/>
          <w:sz w:val="28"/>
          <w:szCs w:val="28"/>
          <w:lang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bookmarkStart w:id="21" w:name="_Toc2912"/>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3、</w:t>
      </w:r>
      <w:r>
        <w:rPr>
          <w:rFonts w:hint="eastAsia" w:ascii="仿宋" w:hAnsi="仿宋" w:eastAsia="仿宋" w:cs="仿宋"/>
          <w:b/>
          <w:bCs/>
          <w:color w:val="auto"/>
          <w:sz w:val="28"/>
          <w:szCs w:val="28"/>
        </w:rPr>
        <w:t>总体应急策略</w:t>
      </w:r>
      <w:bookmarkEnd w:id="19"/>
      <w:bookmarkEnd w:id="20"/>
      <w:bookmarkEnd w:id="21"/>
    </w:p>
    <w:p>
      <w:pPr>
        <w:pStyle w:val="25"/>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562" w:firstLineChars="200"/>
        <w:textAlignment w:val="auto"/>
        <w:outlineLvl w:val="1"/>
        <w:rPr>
          <w:rFonts w:hint="eastAsia" w:ascii="仿宋" w:hAnsi="仿宋" w:eastAsia="仿宋" w:cs="仿宋"/>
          <w:b/>
          <w:bCs/>
          <w:iCs/>
          <w:color w:val="auto"/>
          <w:sz w:val="28"/>
          <w:szCs w:val="28"/>
        </w:rPr>
      </w:pPr>
      <w:bookmarkStart w:id="22" w:name="_Toc30504"/>
      <w:bookmarkStart w:id="23" w:name="_Toc8778"/>
      <w:bookmarkStart w:id="24" w:name="_Toc3888"/>
      <w:r>
        <w:rPr>
          <w:rFonts w:hint="eastAsia" w:ascii="仿宋" w:hAnsi="仿宋" w:eastAsia="仿宋" w:cs="仿宋"/>
          <w:b/>
          <w:bCs/>
          <w:iCs/>
          <w:color w:val="auto"/>
          <w:sz w:val="28"/>
          <w:szCs w:val="28"/>
          <w:lang w:val="en-US" w:eastAsia="zh-CN"/>
        </w:rPr>
        <w:t>3.</w:t>
      </w:r>
      <w:r>
        <w:rPr>
          <w:rFonts w:hint="eastAsia" w:ascii="仿宋" w:hAnsi="仿宋" w:eastAsia="仿宋" w:cs="仿宋"/>
          <w:b/>
          <w:bCs/>
          <w:iCs/>
          <w:color w:val="auto"/>
          <w:sz w:val="28"/>
          <w:szCs w:val="28"/>
        </w:rPr>
        <w:t>1策略描述</w:t>
      </w:r>
      <w:bookmarkEnd w:id="22"/>
      <w:bookmarkEnd w:id="23"/>
      <w:bookmarkEnd w:id="24"/>
    </w:p>
    <w:p>
      <w:pPr>
        <w:keepNext w:val="0"/>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w:t>
      </w:r>
      <w:r>
        <w:rPr>
          <w:rFonts w:hint="eastAsia" w:ascii="仿宋" w:hAnsi="仿宋" w:eastAsia="仿宋" w:cs="仿宋"/>
          <w:color w:val="auto"/>
          <w:sz w:val="28"/>
          <w:szCs w:val="28"/>
          <w:lang w:val="en-US" w:eastAsia="zh-CN"/>
        </w:rPr>
        <w:t>污染物清除作业方案</w:t>
      </w:r>
      <w:r>
        <w:rPr>
          <w:rFonts w:hint="eastAsia" w:ascii="仿宋" w:hAnsi="仿宋" w:eastAsia="仿宋" w:cs="仿宋"/>
          <w:color w:val="auto"/>
          <w:sz w:val="28"/>
          <w:szCs w:val="28"/>
        </w:rPr>
        <w:t>总体</w:t>
      </w:r>
      <w:r>
        <w:rPr>
          <w:rFonts w:hint="eastAsia" w:ascii="仿宋" w:hAnsi="仿宋" w:eastAsia="仿宋" w:cs="仿宋"/>
          <w:color w:val="auto"/>
          <w:sz w:val="28"/>
          <w:szCs w:val="28"/>
          <w:lang w:eastAsia="zh-CN"/>
        </w:rPr>
        <w:t>应急</w:t>
      </w:r>
      <w:r>
        <w:rPr>
          <w:rFonts w:hint="eastAsia" w:ascii="仿宋" w:hAnsi="仿宋" w:eastAsia="仿宋" w:cs="仿宋"/>
          <w:color w:val="auto"/>
          <w:sz w:val="28"/>
          <w:szCs w:val="28"/>
        </w:rPr>
        <w:t>策略为：</w:t>
      </w:r>
    </w:p>
    <w:p>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rPr>
        <w:t>安全第一</w:t>
      </w:r>
      <w:r>
        <w:rPr>
          <w:rFonts w:hint="eastAsia" w:ascii="仿宋" w:hAnsi="仿宋" w:eastAsia="仿宋" w:cs="仿宋"/>
          <w:b/>
          <w:bCs/>
          <w:color w:val="auto"/>
          <w:sz w:val="28"/>
          <w:szCs w:val="28"/>
          <w:lang w:eastAsia="zh-CN"/>
        </w:rPr>
        <w:t>、</w:t>
      </w:r>
      <w:r>
        <w:rPr>
          <w:rFonts w:hint="eastAsia" w:ascii="仿宋" w:hAnsi="仿宋" w:eastAsia="仿宋" w:cs="仿宋"/>
          <w:b/>
          <w:bCs/>
          <w:color w:val="auto"/>
          <w:sz w:val="28"/>
          <w:szCs w:val="28"/>
        </w:rPr>
        <w:t>全天候待命、应急迅速、</w:t>
      </w:r>
      <w:r>
        <w:rPr>
          <w:rFonts w:hint="eastAsia" w:ascii="仿宋" w:hAnsi="仿宋" w:eastAsia="仿宋" w:cs="仿宋"/>
          <w:b/>
          <w:bCs/>
          <w:color w:val="auto"/>
          <w:sz w:val="28"/>
          <w:szCs w:val="28"/>
          <w:lang w:eastAsia="zh-CN"/>
        </w:rPr>
        <w:t>有效清污、防止二次污染</w:t>
      </w:r>
      <w:r>
        <w:rPr>
          <w:rFonts w:hint="eastAsia" w:ascii="仿宋" w:hAnsi="仿宋" w:eastAsia="仿宋" w:cs="仿宋"/>
          <w:b/>
          <w:bCs/>
          <w:color w:val="auto"/>
          <w:sz w:val="28"/>
          <w:szCs w:val="28"/>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200" w:right="0" w:rightChars="0" w:firstLine="281" w:firstLineChars="100"/>
        <w:textAlignment w:val="auto"/>
        <w:rPr>
          <w:rFonts w:hint="eastAsia" w:ascii="仿宋" w:hAnsi="仿宋" w:eastAsia="仿宋" w:cs="仿宋"/>
          <w:b/>
          <w:bCs/>
          <w:color w:val="auto"/>
          <w:sz w:val="28"/>
          <w:szCs w:val="28"/>
          <w:lang w:eastAsia="zh-CN"/>
        </w:rPr>
      </w:pPr>
      <w:r>
        <w:rPr>
          <w:rFonts w:hint="eastAsia" w:ascii="仿宋" w:hAnsi="仿宋" w:eastAsia="仿宋" w:cs="仿宋"/>
          <w:b/>
          <w:bCs/>
          <w:color w:val="auto"/>
          <w:sz w:val="28"/>
          <w:szCs w:val="28"/>
          <w:lang w:val="en-US" w:eastAsia="zh-CN"/>
        </w:rPr>
        <w:t xml:space="preserve">3.1.1 </w:t>
      </w:r>
      <w:r>
        <w:rPr>
          <w:rFonts w:hint="eastAsia" w:ascii="仿宋" w:hAnsi="仿宋" w:eastAsia="仿宋" w:cs="仿宋"/>
          <w:b/>
          <w:bCs/>
          <w:color w:val="auto"/>
          <w:sz w:val="28"/>
          <w:szCs w:val="28"/>
          <w:lang w:eastAsia="zh-CN"/>
        </w:rPr>
        <w:t>安全第一</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textAlignment w:val="auto"/>
        <w:rPr>
          <w:rFonts w:hint="default" w:ascii="仿宋" w:hAnsi="仿宋" w:eastAsia="仿宋" w:cs="仿宋"/>
          <w:b/>
          <w:bCs/>
          <w:color w:val="auto"/>
          <w:sz w:val="28"/>
          <w:szCs w:val="28"/>
          <w:lang w:val="en-US" w:eastAsia="zh-CN"/>
        </w:rPr>
      </w:pPr>
      <w:r>
        <w:rPr>
          <w:rFonts w:hint="eastAsia" w:ascii="仿宋" w:hAnsi="仿宋" w:eastAsia="仿宋" w:cs="仿宋"/>
          <w:color w:val="auto"/>
          <w:sz w:val="28"/>
          <w:szCs w:val="28"/>
          <w:lang w:val="en-US" w:eastAsia="zh-CN"/>
        </w:rPr>
        <w:t>本公司是专业船舶污染物清除单位，在污染物清除作业中“安全第一，预防为主”的工作方针贯穿于始终。</w:t>
      </w:r>
      <w:r>
        <w:rPr>
          <w:rFonts w:hint="eastAsia" w:ascii="仿宋" w:hAnsi="仿宋" w:eastAsia="仿宋" w:cs="仿宋"/>
          <w:color w:val="auto"/>
          <w:sz w:val="28"/>
          <w:szCs w:val="28"/>
          <w:lang w:eastAsia="zh-CN"/>
        </w:rPr>
        <w:t>首先</w:t>
      </w:r>
      <w:r>
        <w:rPr>
          <w:rFonts w:hint="eastAsia" w:ascii="仿宋" w:hAnsi="仿宋" w:eastAsia="仿宋" w:cs="仿宋"/>
          <w:color w:val="auto"/>
          <w:sz w:val="28"/>
          <w:szCs w:val="28"/>
          <w:lang w:val="en-US" w:eastAsia="zh-CN"/>
        </w:rPr>
        <w:t>，</w:t>
      </w:r>
      <w:r>
        <w:rPr>
          <w:rFonts w:hint="eastAsia" w:ascii="仿宋" w:hAnsi="仿宋" w:eastAsia="仿宋" w:cs="仿宋"/>
          <w:color w:val="auto"/>
          <w:sz w:val="28"/>
          <w:szCs w:val="28"/>
        </w:rPr>
        <w:t>油类物质及其炼制品具有易燃、易爆的危险性，同时还有毒性，保障作业人员的安全是第一要务</w:t>
      </w:r>
      <w:r>
        <w:rPr>
          <w:rFonts w:hint="eastAsia" w:ascii="仿宋" w:hAnsi="仿宋" w:eastAsia="仿宋" w:cs="仿宋"/>
          <w:color w:val="auto"/>
          <w:sz w:val="28"/>
          <w:szCs w:val="28"/>
          <w:lang w:eastAsia="zh-CN"/>
        </w:rPr>
        <w:t>，所以在作业中要采取各项安全措施和坚持安全操作，在做好应急清污工作的同时，保障生命和财产安全。</w:t>
      </w:r>
    </w:p>
    <w:p>
      <w:pPr>
        <w:keepNext w:val="0"/>
        <w:keepLines w:val="0"/>
        <w:pageBreakBefore w:val="0"/>
        <w:widowControl/>
        <w:kinsoku/>
        <w:wordWrap/>
        <w:overflowPunct/>
        <w:topLinePunct w:val="0"/>
        <w:autoSpaceDE/>
        <w:autoSpaceDN/>
        <w:bidi w:val="0"/>
        <w:adjustRightInd/>
        <w:snapToGrid/>
        <w:spacing w:line="360" w:lineRule="auto"/>
        <w:ind w:firstLine="554" w:firstLineChars="197"/>
        <w:textAlignment w:val="auto"/>
        <w:rPr>
          <w:rFonts w:hint="eastAsia" w:ascii="仿宋" w:hAnsi="仿宋" w:eastAsia="仿宋" w:cs="仿宋"/>
          <w:b/>
          <w:bCs/>
          <w:color w:val="auto"/>
          <w:sz w:val="28"/>
          <w:szCs w:val="28"/>
          <w:lang w:eastAsia="zh-CN"/>
        </w:rPr>
      </w:pPr>
      <w:r>
        <w:rPr>
          <w:rFonts w:hint="eastAsia" w:ascii="仿宋" w:hAnsi="仿宋" w:eastAsia="仿宋" w:cs="仿宋"/>
          <w:b/>
          <w:bCs/>
          <w:color w:val="auto"/>
          <w:sz w:val="28"/>
          <w:szCs w:val="28"/>
          <w:lang w:val="en-US" w:eastAsia="zh-CN"/>
        </w:rPr>
        <w:t xml:space="preserve">3.1.2 </w:t>
      </w:r>
      <w:r>
        <w:rPr>
          <w:rFonts w:hint="eastAsia" w:ascii="仿宋" w:hAnsi="仿宋" w:eastAsia="仿宋" w:cs="仿宋"/>
          <w:b/>
          <w:bCs/>
          <w:color w:val="auto"/>
          <w:sz w:val="28"/>
          <w:szCs w:val="28"/>
        </w:rPr>
        <w:t>全天候待命</w:t>
      </w:r>
    </w:p>
    <w:p>
      <w:pPr>
        <w:spacing w:line="360" w:lineRule="auto"/>
        <w:ind w:firstLine="560" w:firstLineChars="200"/>
        <w:rPr>
          <w:rFonts w:hint="eastAsia" w:ascii="仿宋" w:hAnsi="仿宋" w:eastAsia="仿宋" w:cs="仿宋"/>
          <w:color w:val="auto"/>
          <w:sz w:val="28"/>
          <w:szCs w:val="28"/>
          <w:lang w:eastAsia="zh-CN"/>
        </w:rPr>
      </w:pPr>
      <w:r>
        <w:rPr>
          <w:rFonts w:hint="eastAsia" w:ascii="仿宋" w:hAnsi="仿宋" w:eastAsia="仿宋" w:cs="仿宋"/>
          <w:color w:val="auto"/>
          <w:sz w:val="28"/>
          <w:szCs w:val="28"/>
          <w:lang w:eastAsia="zh-CN"/>
        </w:rPr>
        <w:t>公司建立</w:t>
      </w:r>
      <w:r>
        <w:rPr>
          <w:rFonts w:hint="eastAsia" w:ascii="仿宋" w:hAnsi="仿宋" w:eastAsia="仿宋" w:cs="仿宋"/>
          <w:color w:val="auto"/>
          <w:sz w:val="28"/>
          <w:szCs w:val="28"/>
          <w:lang w:val="en-US" w:eastAsia="zh-CN"/>
        </w:rPr>
        <w:t>24小时值班制度，建立了完备的应急响应预案，确保</w:t>
      </w:r>
      <w:r>
        <w:rPr>
          <w:rFonts w:hint="eastAsia" w:ascii="仿宋" w:hAnsi="仿宋" w:eastAsia="仿宋" w:cs="仿宋"/>
          <w:color w:val="auto"/>
          <w:sz w:val="28"/>
          <w:szCs w:val="28"/>
        </w:rPr>
        <w:t>在污染事故后最快时间到达现场进行紧急处置</w:t>
      </w:r>
      <w:r>
        <w:rPr>
          <w:rFonts w:hint="eastAsia" w:ascii="仿宋" w:hAnsi="仿宋" w:eastAsia="仿宋" w:cs="仿宋"/>
          <w:color w:val="auto"/>
          <w:sz w:val="28"/>
          <w:szCs w:val="28"/>
          <w:lang w:val="en-US" w:eastAsia="zh-CN"/>
        </w:rPr>
        <w:t>。</w:t>
      </w:r>
      <w:r>
        <w:rPr>
          <w:rFonts w:hint="eastAsia" w:ascii="仿宋" w:hAnsi="仿宋" w:eastAsia="仿宋" w:cs="仿宋"/>
          <w:color w:val="auto"/>
          <w:sz w:val="28"/>
          <w:szCs w:val="28"/>
        </w:rPr>
        <w:t>由</w:t>
      </w:r>
      <w:r>
        <w:rPr>
          <w:rFonts w:hint="eastAsia" w:ascii="仿宋" w:hAnsi="仿宋" w:eastAsia="仿宋" w:cs="仿宋"/>
          <w:color w:val="auto"/>
          <w:sz w:val="28"/>
          <w:szCs w:val="28"/>
          <w:lang w:val="en-US" w:eastAsia="zh-CN"/>
        </w:rPr>
        <w:t>应急作业部</w:t>
      </w:r>
      <w:r>
        <w:rPr>
          <w:rFonts w:hint="eastAsia" w:ascii="仿宋" w:hAnsi="仿宋" w:eastAsia="仿宋" w:cs="仿宋"/>
          <w:color w:val="auto"/>
          <w:sz w:val="28"/>
          <w:szCs w:val="28"/>
        </w:rPr>
        <w:t>负责值班，时刻准备进行船舶污染事故的清除作业</w:t>
      </w:r>
      <w:r>
        <w:rPr>
          <w:rFonts w:hint="eastAsia" w:ascii="仿宋" w:hAnsi="仿宋" w:eastAsia="仿宋" w:cs="仿宋"/>
          <w:color w:val="auto"/>
          <w:sz w:val="28"/>
          <w:szCs w:val="28"/>
          <w:lang w:eastAsia="zh-CN"/>
        </w:rPr>
        <w:t>，做到全天候待命。</w:t>
      </w:r>
    </w:p>
    <w:p>
      <w:pPr>
        <w:spacing w:line="360" w:lineRule="auto"/>
        <w:ind w:firstLine="562" w:firstLineChars="200"/>
        <w:rPr>
          <w:rFonts w:hint="eastAsia" w:ascii="仿宋" w:hAnsi="仿宋" w:eastAsia="仿宋" w:cs="仿宋"/>
          <w:sz w:val="28"/>
          <w:szCs w:val="28"/>
          <w:lang w:eastAsia="zh-CN"/>
        </w:rPr>
      </w:pPr>
      <w:r>
        <w:rPr>
          <w:rFonts w:hint="eastAsia" w:ascii="仿宋" w:hAnsi="仿宋" w:eastAsia="仿宋" w:cs="仿宋"/>
          <w:b/>
          <w:bCs/>
          <w:sz w:val="28"/>
          <w:szCs w:val="28"/>
          <w:lang w:val="en-US" w:eastAsia="zh-CN"/>
        </w:rPr>
        <w:t xml:space="preserve">3.1.3 </w:t>
      </w:r>
      <w:r>
        <w:rPr>
          <w:rFonts w:hint="eastAsia" w:ascii="仿宋" w:hAnsi="仿宋" w:eastAsia="仿宋" w:cs="仿宋"/>
          <w:b/>
          <w:bCs/>
          <w:sz w:val="28"/>
          <w:szCs w:val="28"/>
        </w:rPr>
        <w:t>应急迅速</w:t>
      </w:r>
    </w:p>
    <w:p>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船舶污染事故是突发性环境污染事故，任何堵漏、围控及污染清除应急行动，应急反应时效性</w:t>
      </w:r>
      <w:r>
        <w:rPr>
          <w:rFonts w:hint="eastAsia" w:ascii="仿宋" w:hAnsi="仿宋" w:eastAsia="仿宋" w:cs="仿宋"/>
          <w:sz w:val="28"/>
          <w:szCs w:val="28"/>
          <w:lang w:val="en-US" w:eastAsia="zh-CN"/>
        </w:rPr>
        <w:t>是</w:t>
      </w:r>
      <w:r>
        <w:rPr>
          <w:rFonts w:hint="eastAsia" w:ascii="仿宋" w:hAnsi="仿宋" w:eastAsia="仿宋" w:cs="仿宋"/>
          <w:sz w:val="28"/>
          <w:szCs w:val="28"/>
        </w:rPr>
        <w:t>衡量公司应急清污能力的重要指标，公司的应急处置船在24小时待命的前提下，接到签订污染清除协议的船舶经营人的应急清污通知</w:t>
      </w:r>
      <w:r>
        <w:rPr>
          <w:rFonts w:hint="eastAsia" w:ascii="仿宋" w:hAnsi="仿宋" w:eastAsia="仿宋" w:cs="仿宋"/>
          <w:sz w:val="28"/>
          <w:szCs w:val="28"/>
          <w:lang w:val="en-US" w:eastAsia="zh-CN"/>
        </w:rPr>
        <w:t>、发现</w:t>
      </w:r>
      <w:r>
        <w:rPr>
          <w:rFonts w:hint="eastAsia" w:ascii="仿宋" w:hAnsi="仿宋" w:eastAsia="仿宋" w:cs="仿宋"/>
          <w:sz w:val="28"/>
          <w:szCs w:val="28"/>
        </w:rPr>
        <w:t>服务区域内船舶或其有关活动造成或可能造成海洋环境污染</w:t>
      </w: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接到</w:t>
      </w:r>
      <w:r>
        <w:rPr>
          <w:rFonts w:hint="eastAsia" w:ascii="仿宋" w:hAnsi="仿宋" w:eastAsia="仿宋" w:cs="仿宋"/>
          <w:sz w:val="28"/>
          <w:szCs w:val="28"/>
        </w:rPr>
        <w:t>当地海事管理机构的应急清污指令，将立即</w:t>
      </w:r>
      <w:r>
        <w:rPr>
          <w:rFonts w:hint="eastAsia" w:ascii="仿宋" w:hAnsi="仿宋" w:eastAsia="仿宋" w:cs="仿宋"/>
          <w:sz w:val="28"/>
          <w:szCs w:val="28"/>
          <w:lang w:val="en-US" w:eastAsia="zh-CN"/>
        </w:rPr>
        <w:t>启动公司《应急预案》</w:t>
      </w:r>
      <w:r>
        <w:rPr>
          <w:rFonts w:hint="eastAsia" w:ascii="仿宋" w:hAnsi="仿宋" w:eastAsia="仿宋" w:cs="仿宋"/>
          <w:sz w:val="28"/>
          <w:szCs w:val="28"/>
        </w:rPr>
        <w:t>，</w:t>
      </w:r>
      <w:r>
        <w:rPr>
          <w:rFonts w:hint="eastAsia" w:ascii="仿宋" w:hAnsi="仿宋" w:eastAsia="仿宋" w:cs="仿宋"/>
          <w:sz w:val="28"/>
          <w:szCs w:val="28"/>
          <w:lang w:val="en-US" w:eastAsia="zh-CN"/>
        </w:rPr>
        <w:t>调集清污应急力量第一时间</w:t>
      </w:r>
      <w:r>
        <w:rPr>
          <w:rFonts w:hint="eastAsia" w:ascii="仿宋" w:hAnsi="仿宋" w:eastAsia="仿宋" w:cs="仿宋"/>
          <w:sz w:val="28"/>
          <w:szCs w:val="28"/>
        </w:rPr>
        <w:t>到达事故现场。</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2" w:firstLineChars="200"/>
        <w:textAlignment w:val="auto"/>
        <w:rPr>
          <w:rFonts w:hint="eastAsia" w:ascii="仿宋" w:hAnsi="仿宋" w:eastAsia="仿宋" w:cs="仿宋"/>
          <w:b/>
          <w:bCs/>
          <w:color w:val="auto"/>
          <w:sz w:val="28"/>
          <w:szCs w:val="28"/>
          <w:lang w:eastAsia="zh-CN"/>
        </w:rPr>
      </w:pPr>
      <w:r>
        <w:rPr>
          <w:rFonts w:hint="eastAsia" w:ascii="仿宋" w:hAnsi="仿宋" w:eastAsia="仿宋" w:cs="仿宋"/>
          <w:b/>
          <w:bCs/>
          <w:color w:val="auto"/>
          <w:sz w:val="28"/>
          <w:szCs w:val="28"/>
          <w:lang w:val="en-US" w:eastAsia="zh-CN"/>
        </w:rPr>
        <w:t xml:space="preserve">3.1.4 </w:t>
      </w:r>
      <w:r>
        <w:rPr>
          <w:rFonts w:hint="eastAsia" w:ascii="仿宋" w:hAnsi="仿宋" w:eastAsia="仿宋" w:cs="仿宋"/>
          <w:b/>
          <w:bCs/>
          <w:color w:val="auto"/>
          <w:sz w:val="28"/>
          <w:szCs w:val="28"/>
          <w:lang w:eastAsia="zh-CN"/>
        </w:rPr>
        <w:t>有效清污</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船舶污染事故的源头是船舶，公司清污</w:t>
      </w:r>
      <w:r>
        <w:rPr>
          <w:rFonts w:hint="eastAsia" w:ascii="仿宋" w:hAnsi="仿宋" w:eastAsia="仿宋" w:cs="仿宋"/>
          <w:color w:val="auto"/>
          <w:sz w:val="28"/>
          <w:szCs w:val="28"/>
          <w:lang w:eastAsia="zh-CN"/>
        </w:rPr>
        <w:t>应急</w:t>
      </w:r>
      <w:r>
        <w:rPr>
          <w:rFonts w:hint="eastAsia" w:ascii="仿宋" w:hAnsi="仿宋" w:eastAsia="仿宋" w:cs="仿宋"/>
          <w:color w:val="auto"/>
          <w:sz w:val="28"/>
          <w:szCs w:val="28"/>
        </w:rPr>
        <w:t>力量到达现场后，首先从源头上控制污染事故，采取应急堵漏和围控措施，防止污染事故扩大化。</w:t>
      </w:r>
    </w:p>
    <w:p>
      <w:pPr>
        <w:spacing w:line="360" w:lineRule="auto"/>
        <w:ind w:firstLine="562" w:firstLineChars="200"/>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3.1.5 </w:t>
      </w:r>
      <w:r>
        <w:rPr>
          <w:rFonts w:hint="eastAsia" w:ascii="仿宋" w:hAnsi="仿宋" w:eastAsia="仿宋" w:cs="仿宋"/>
          <w:b/>
          <w:bCs/>
          <w:sz w:val="28"/>
          <w:szCs w:val="28"/>
          <w:lang w:eastAsia="zh-CN"/>
        </w:rPr>
        <w:t>防止二次污染</w:t>
      </w:r>
    </w:p>
    <w:p>
      <w:pPr>
        <w:spacing w:line="360" w:lineRule="auto"/>
        <w:rPr>
          <w:rFonts w:hint="eastAsia" w:ascii="仿宋" w:hAnsi="仿宋" w:eastAsia="仿宋" w:cs="仿宋"/>
          <w:sz w:val="28"/>
          <w:szCs w:val="28"/>
        </w:rPr>
      </w:pPr>
      <w:r>
        <w:rPr>
          <w:rFonts w:hint="eastAsia" w:ascii="仿宋" w:hAnsi="仿宋" w:eastAsia="仿宋" w:cs="仿宋"/>
          <w:sz w:val="28"/>
          <w:szCs w:val="28"/>
          <w:lang w:eastAsia="zh-CN"/>
        </w:rPr>
        <w:t>船舶</w:t>
      </w:r>
      <w:r>
        <w:rPr>
          <w:rFonts w:hint="eastAsia" w:ascii="仿宋" w:hAnsi="仿宋" w:eastAsia="仿宋" w:cs="仿宋"/>
          <w:sz w:val="28"/>
          <w:szCs w:val="28"/>
        </w:rPr>
        <w:t>污染</w:t>
      </w:r>
      <w:r>
        <w:rPr>
          <w:rFonts w:hint="eastAsia" w:ascii="仿宋" w:hAnsi="仿宋" w:eastAsia="仿宋" w:cs="仿宋"/>
          <w:sz w:val="28"/>
          <w:szCs w:val="28"/>
          <w:lang w:eastAsia="zh-CN"/>
        </w:rPr>
        <w:t>物</w:t>
      </w:r>
      <w:r>
        <w:rPr>
          <w:rFonts w:hint="eastAsia" w:ascii="仿宋" w:hAnsi="仿宋" w:eastAsia="仿宋" w:cs="仿宋"/>
          <w:sz w:val="28"/>
          <w:szCs w:val="28"/>
        </w:rPr>
        <w:t>清除作业的目的</w:t>
      </w:r>
      <w:r>
        <w:rPr>
          <w:rFonts w:hint="eastAsia" w:ascii="仿宋" w:hAnsi="仿宋" w:eastAsia="仿宋" w:cs="仿宋"/>
          <w:sz w:val="28"/>
          <w:szCs w:val="28"/>
          <w:lang w:eastAsia="zh-CN"/>
        </w:rPr>
        <w:t>就</w:t>
      </w:r>
      <w:r>
        <w:rPr>
          <w:rFonts w:hint="eastAsia" w:ascii="仿宋" w:hAnsi="仿宋" w:eastAsia="仿宋" w:cs="仿宋"/>
          <w:sz w:val="28"/>
          <w:szCs w:val="28"/>
        </w:rPr>
        <w:t>是为了减少</w:t>
      </w:r>
      <w:r>
        <w:rPr>
          <w:rFonts w:hint="eastAsia" w:ascii="仿宋" w:hAnsi="仿宋" w:eastAsia="仿宋" w:cs="仿宋"/>
          <w:sz w:val="28"/>
          <w:szCs w:val="28"/>
          <w:lang w:val="en-US" w:eastAsia="zh-CN"/>
        </w:rPr>
        <w:t>污染物</w:t>
      </w:r>
      <w:r>
        <w:rPr>
          <w:rFonts w:hint="eastAsia" w:ascii="仿宋" w:hAnsi="仿宋" w:eastAsia="仿宋" w:cs="仿宋"/>
          <w:sz w:val="28"/>
          <w:szCs w:val="28"/>
        </w:rPr>
        <w:t>对环境的污染危害，</w:t>
      </w:r>
      <w:r>
        <w:rPr>
          <w:rFonts w:hint="eastAsia" w:ascii="仿宋" w:hAnsi="仿宋" w:eastAsia="仿宋" w:cs="仿宋"/>
          <w:sz w:val="28"/>
          <w:szCs w:val="28"/>
          <w:lang w:eastAsia="zh-CN"/>
        </w:rPr>
        <w:t>在船舶污染物清除作业和</w:t>
      </w:r>
      <w:r>
        <w:rPr>
          <w:rFonts w:hint="eastAsia" w:ascii="仿宋" w:hAnsi="仿宋" w:eastAsia="仿宋" w:cs="仿宋"/>
          <w:sz w:val="28"/>
          <w:szCs w:val="28"/>
        </w:rPr>
        <w:t>转运处理过程中</w:t>
      </w:r>
      <w:r>
        <w:rPr>
          <w:rFonts w:hint="eastAsia" w:ascii="仿宋" w:hAnsi="仿宋" w:eastAsia="仿宋" w:cs="仿宋"/>
          <w:sz w:val="28"/>
          <w:szCs w:val="28"/>
          <w:lang w:eastAsia="zh-CN"/>
        </w:rPr>
        <w:t>要采取各项措施和规范操作，防止</w:t>
      </w:r>
      <w:r>
        <w:rPr>
          <w:rFonts w:hint="eastAsia" w:ascii="仿宋" w:hAnsi="仿宋" w:eastAsia="仿宋" w:cs="仿宋"/>
          <w:sz w:val="28"/>
          <w:szCs w:val="28"/>
        </w:rPr>
        <w:t>二次污染</w:t>
      </w:r>
      <w:r>
        <w:rPr>
          <w:rFonts w:hint="eastAsia" w:ascii="仿宋" w:hAnsi="仿宋" w:eastAsia="仿宋" w:cs="仿宋"/>
          <w:sz w:val="28"/>
          <w:szCs w:val="28"/>
          <w:lang w:eastAsia="zh-CN"/>
        </w:rPr>
        <w:t>的发生</w:t>
      </w:r>
      <w:r>
        <w:rPr>
          <w:rFonts w:hint="eastAsia" w:ascii="仿宋" w:hAnsi="仿宋" w:eastAsia="仿宋" w:cs="仿宋"/>
          <w:sz w:val="28"/>
          <w:szCs w:val="28"/>
        </w:rPr>
        <w:t>。因此，防</w:t>
      </w:r>
      <w:r>
        <w:rPr>
          <w:rFonts w:hint="eastAsia" w:ascii="仿宋" w:hAnsi="仿宋" w:eastAsia="仿宋" w:cs="仿宋"/>
          <w:sz w:val="28"/>
          <w:szCs w:val="28"/>
          <w:lang w:eastAsia="zh-CN"/>
        </w:rPr>
        <w:t>止二次</w:t>
      </w:r>
      <w:r>
        <w:rPr>
          <w:rFonts w:hint="eastAsia" w:ascii="仿宋" w:hAnsi="仿宋" w:eastAsia="仿宋" w:cs="仿宋"/>
          <w:sz w:val="28"/>
          <w:szCs w:val="28"/>
        </w:rPr>
        <w:t>污染贯彻本公司整个</w:t>
      </w:r>
      <w:r>
        <w:rPr>
          <w:rFonts w:hint="eastAsia" w:ascii="仿宋" w:hAnsi="仿宋" w:eastAsia="仿宋" w:cs="仿宋"/>
          <w:sz w:val="28"/>
          <w:szCs w:val="28"/>
          <w:lang w:val="en-US" w:eastAsia="zh-CN"/>
        </w:rPr>
        <w:t>污染物清除</w:t>
      </w:r>
      <w:r>
        <w:rPr>
          <w:rFonts w:hint="eastAsia" w:ascii="仿宋" w:hAnsi="仿宋" w:eastAsia="仿宋" w:cs="仿宋"/>
          <w:sz w:val="28"/>
          <w:szCs w:val="28"/>
        </w:rPr>
        <w:t>应急作业全过程。</w:t>
      </w:r>
      <w:bookmarkStart w:id="25" w:name="_Toc10094"/>
      <w:bookmarkStart w:id="26" w:name="_Toc10777"/>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2" w:firstLineChars="200"/>
        <w:textAlignment w:val="auto"/>
        <w:outlineLvl w:val="1"/>
        <w:rPr>
          <w:rFonts w:hint="eastAsia" w:ascii="仿宋" w:hAnsi="仿宋" w:eastAsia="仿宋" w:cs="仿宋"/>
          <w:b/>
          <w:bCs/>
          <w:iCs/>
          <w:color w:val="auto"/>
          <w:sz w:val="28"/>
          <w:szCs w:val="28"/>
        </w:rPr>
      </w:pPr>
      <w:bookmarkStart w:id="27" w:name="_Toc28812"/>
      <w:r>
        <w:rPr>
          <w:rFonts w:hint="eastAsia" w:ascii="仿宋" w:hAnsi="仿宋" w:eastAsia="仿宋" w:cs="仿宋"/>
          <w:b/>
          <w:bCs/>
          <w:iCs/>
          <w:color w:val="auto"/>
          <w:sz w:val="28"/>
          <w:szCs w:val="28"/>
          <w:lang w:val="en-US" w:eastAsia="zh-CN"/>
        </w:rPr>
        <w:t>3</w:t>
      </w:r>
      <w:r>
        <w:rPr>
          <w:rFonts w:hint="eastAsia" w:ascii="仿宋" w:hAnsi="仿宋" w:eastAsia="仿宋" w:cs="仿宋"/>
          <w:b/>
          <w:bCs/>
          <w:iCs/>
          <w:color w:val="auto"/>
          <w:sz w:val="28"/>
          <w:szCs w:val="28"/>
        </w:rPr>
        <w:t>.2</w:t>
      </w:r>
      <w:r>
        <w:rPr>
          <w:rFonts w:hint="eastAsia" w:ascii="仿宋" w:hAnsi="仿宋" w:eastAsia="仿宋" w:cs="仿宋"/>
          <w:b/>
          <w:bCs/>
          <w:iCs/>
          <w:color w:val="auto"/>
          <w:sz w:val="28"/>
          <w:szCs w:val="28"/>
          <w:lang w:val="en-US" w:eastAsia="zh-CN"/>
        </w:rPr>
        <w:t xml:space="preserve"> </w:t>
      </w:r>
      <w:r>
        <w:rPr>
          <w:rFonts w:hint="eastAsia" w:ascii="仿宋" w:hAnsi="仿宋" w:eastAsia="仿宋" w:cs="仿宋"/>
          <w:b/>
          <w:bCs/>
          <w:iCs/>
          <w:color w:val="auto"/>
          <w:sz w:val="28"/>
          <w:szCs w:val="28"/>
        </w:rPr>
        <w:t>应急反应程序策略</w:t>
      </w:r>
      <w:bookmarkEnd w:id="25"/>
      <w:bookmarkEnd w:id="26"/>
      <w:bookmarkEnd w:id="27"/>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3.2.1 </w:t>
      </w:r>
      <w:r>
        <w:rPr>
          <w:rFonts w:hint="eastAsia" w:ascii="仿宋" w:hAnsi="仿宋" w:eastAsia="仿宋" w:cs="仿宋"/>
          <w:color w:val="auto"/>
          <w:sz w:val="28"/>
          <w:szCs w:val="28"/>
        </w:rPr>
        <w:t>本公司在接到船方</w:t>
      </w:r>
      <w:r>
        <w:rPr>
          <w:rFonts w:hint="eastAsia" w:ascii="仿宋" w:hAnsi="仿宋" w:eastAsia="仿宋" w:cs="仿宋"/>
          <w:color w:val="auto"/>
          <w:sz w:val="28"/>
          <w:szCs w:val="28"/>
          <w:lang w:val="en-US" w:eastAsia="zh-CN"/>
        </w:rPr>
        <w:t>船舶污染</w:t>
      </w:r>
      <w:r>
        <w:rPr>
          <w:rFonts w:hint="eastAsia" w:ascii="仿宋" w:hAnsi="仿宋" w:eastAsia="仿宋" w:cs="仿宋"/>
          <w:color w:val="auto"/>
          <w:sz w:val="28"/>
          <w:szCs w:val="28"/>
        </w:rPr>
        <w:t>事故报告后</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立即启动公司《应急预案》</w:t>
      </w:r>
      <w:r>
        <w:rPr>
          <w:rFonts w:hint="eastAsia" w:ascii="仿宋" w:hAnsi="仿宋" w:eastAsia="仿宋" w:cs="仿宋"/>
          <w:color w:val="auto"/>
          <w:sz w:val="28"/>
          <w:szCs w:val="28"/>
        </w:rPr>
        <w:t>：</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当天气、海况条件恶劣时，命令公司的部分或所有清污设备及人员紧急待命，并密切监视</w:t>
      </w:r>
      <w:r>
        <w:rPr>
          <w:rFonts w:hint="eastAsia" w:ascii="仿宋" w:hAnsi="仿宋" w:eastAsia="仿宋" w:cs="仿宋"/>
          <w:color w:val="auto"/>
          <w:sz w:val="28"/>
          <w:szCs w:val="28"/>
          <w:lang w:val="en-US" w:eastAsia="zh-CN"/>
        </w:rPr>
        <w:t>船舶污染</w:t>
      </w:r>
      <w:r>
        <w:rPr>
          <w:rFonts w:hint="eastAsia" w:ascii="仿宋" w:hAnsi="仿宋" w:eastAsia="仿宋" w:cs="仿宋"/>
          <w:color w:val="auto"/>
          <w:sz w:val="28"/>
          <w:szCs w:val="28"/>
        </w:rPr>
        <w:t>情况的发展。</w:t>
      </w:r>
    </w:p>
    <w:p>
      <w:pPr>
        <w:keepNext w:val="0"/>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当天气、海况条件许可时，即刻开始应急行动。</w:t>
      </w:r>
    </w:p>
    <w:p>
      <w:pPr>
        <w:keepNext w:val="0"/>
        <w:keepLines w:val="0"/>
        <w:pageBreakBefore w:val="0"/>
        <w:widowControl/>
        <w:kinsoku/>
        <w:wordWrap/>
        <w:overflowPunct/>
        <w:topLinePunct w:val="0"/>
        <w:autoSpaceDE/>
        <w:autoSpaceDN/>
        <w:bidi w:val="0"/>
        <w:adjustRightInd/>
        <w:snapToGrid/>
        <w:spacing w:line="360" w:lineRule="auto"/>
        <w:ind w:firstLine="551" w:firstLineChars="197"/>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3.2.2 </w:t>
      </w:r>
      <w:r>
        <w:rPr>
          <w:rFonts w:hint="eastAsia" w:ascii="仿宋" w:hAnsi="仿宋" w:eastAsia="仿宋" w:cs="仿宋"/>
          <w:color w:val="auto"/>
          <w:sz w:val="28"/>
          <w:szCs w:val="28"/>
        </w:rPr>
        <w:t>根据</w:t>
      </w:r>
      <w:r>
        <w:rPr>
          <w:rFonts w:hint="eastAsia" w:ascii="仿宋" w:hAnsi="仿宋" w:eastAsia="仿宋" w:cs="仿宋"/>
          <w:color w:val="auto"/>
          <w:sz w:val="28"/>
          <w:szCs w:val="28"/>
          <w:lang w:val="en-US" w:eastAsia="zh-CN"/>
        </w:rPr>
        <w:t>污染物性质及</w:t>
      </w:r>
      <w:r>
        <w:rPr>
          <w:rFonts w:hint="eastAsia" w:ascii="仿宋" w:hAnsi="仿宋" w:eastAsia="仿宋" w:cs="仿宋"/>
          <w:color w:val="auto"/>
          <w:sz w:val="28"/>
          <w:szCs w:val="28"/>
        </w:rPr>
        <w:t>规模决定清污行动的规模和设备及人员的调用。</w:t>
      </w:r>
    </w:p>
    <w:p>
      <w:pPr>
        <w:keepNext w:val="0"/>
        <w:keepLines w:val="0"/>
        <w:pageBreakBefore w:val="0"/>
        <w:widowControl/>
        <w:kinsoku/>
        <w:wordWrap/>
        <w:overflowPunct/>
        <w:topLinePunct w:val="0"/>
        <w:autoSpaceDE/>
        <w:autoSpaceDN/>
        <w:bidi w:val="0"/>
        <w:adjustRightInd/>
        <w:snapToGrid/>
        <w:spacing w:line="360" w:lineRule="auto"/>
        <w:ind w:firstLine="551" w:firstLineChars="197"/>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3.2.3</w:t>
      </w:r>
      <w:r>
        <w:rPr>
          <w:rFonts w:hint="eastAsia" w:ascii="仿宋" w:hAnsi="仿宋" w:eastAsia="仿宋" w:cs="仿宋"/>
          <w:color w:val="auto"/>
          <w:sz w:val="28"/>
          <w:szCs w:val="28"/>
        </w:rPr>
        <w:t>到达事故现场时，应根据</w:t>
      </w:r>
      <w:r>
        <w:rPr>
          <w:rFonts w:hint="eastAsia" w:ascii="仿宋" w:hAnsi="仿宋" w:eastAsia="仿宋" w:cs="仿宋"/>
          <w:color w:val="auto"/>
          <w:sz w:val="28"/>
          <w:szCs w:val="28"/>
          <w:lang w:val="en-US" w:eastAsia="zh-CN"/>
        </w:rPr>
        <w:t>污染物性质</w:t>
      </w:r>
      <w:r>
        <w:rPr>
          <w:rFonts w:hint="eastAsia" w:ascii="仿宋" w:hAnsi="仿宋" w:eastAsia="仿宋" w:cs="仿宋"/>
          <w:color w:val="auto"/>
          <w:sz w:val="28"/>
          <w:szCs w:val="28"/>
        </w:rPr>
        <w:t>和现场具体情况，采取必要的防火防爆措施，例如：将现场指挥船舶及应急船舶处在上风向，防止</w:t>
      </w:r>
      <w:r>
        <w:rPr>
          <w:rFonts w:hint="eastAsia" w:ascii="仿宋" w:hAnsi="仿宋" w:eastAsia="仿宋" w:cs="仿宋"/>
          <w:color w:val="auto"/>
          <w:sz w:val="28"/>
          <w:szCs w:val="28"/>
          <w:lang w:val="en-US" w:eastAsia="zh-CN"/>
        </w:rPr>
        <w:t>污染物</w:t>
      </w:r>
      <w:r>
        <w:rPr>
          <w:rFonts w:hint="eastAsia" w:ascii="仿宋" w:hAnsi="仿宋" w:eastAsia="仿宋" w:cs="仿宋"/>
          <w:color w:val="auto"/>
          <w:sz w:val="28"/>
          <w:szCs w:val="28"/>
        </w:rPr>
        <w:t>逸散对人员造成伤害。</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3.2.4</w:t>
      </w:r>
      <w:r>
        <w:rPr>
          <w:rFonts w:hint="eastAsia" w:ascii="仿宋" w:hAnsi="仿宋" w:eastAsia="仿宋" w:cs="仿宋"/>
          <w:sz w:val="28"/>
          <w:szCs w:val="28"/>
        </w:rPr>
        <w:t>按能够独立进行清污操作的最小单元形成设备及人员的合理组配，以形成高效的清污能力，具体方案见表</w:t>
      </w:r>
      <w:r>
        <w:rPr>
          <w:rFonts w:hint="eastAsia" w:ascii="仿宋" w:hAnsi="仿宋" w:eastAsia="仿宋" w:cs="仿宋"/>
          <w:sz w:val="28"/>
          <w:szCs w:val="28"/>
          <w:lang w:val="en-US" w:eastAsia="zh-CN"/>
        </w:rPr>
        <w:t>3</w:t>
      </w:r>
      <w:r>
        <w:rPr>
          <w:rFonts w:hint="eastAsia" w:ascii="仿宋" w:hAnsi="仿宋" w:eastAsia="仿宋" w:cs="仿宋"/>
          <w:sz w:val="28"/>
          <w:szCs w:val="28"/>
        </w:rPr>
        <w:t>-1。</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3.2.5</w:t>
      </w:r>
      <w:r>
        <w:rPr>
          <w:rFonts w:hint="eastAsia" w:ascii="仿宋" w:hAnsi="仿宋" w:eastAsia="仿宋" w:cs="仿宋"/>
          <w:sz w:val="28"/>
          <w:szCs w:val="28"/>
        </w:rPr>
        <w:t>清污工作结束后，必须将设备清洗入库，并填写设备使用记录以备索赔。</w:t>
      </w:r>
    </w:p>
    <w:p>
      <w:pPr>
        <w:spacing w:line="480" w:lineRule="exact"/>
        <w:jc w:val="center"/>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3</w:t>
      </w:r>
      <w:r>
        <w:rPr>
          <w:rFonts w:hint="eastAsia" w:ascii="仿宋" w:hAnsi="仿宋" w:eastAsia="仿宋" w:cs="仿宋"/>
          <w:b/>
          <w:color w:val="auto"/>
          <w:sz w:val="28"/>
          <w:szCs w:val="28"/>
        </w:rPr>
        <w:t>-1最小单元清污操作设备及人员组配方案</w:t>
      </w:r>
    </w:p>
    <w:tbl>
      <w:tblPr>
        <w:tblStyle w:val="13"/>
        <w:tblW w:w="8381" w:type="dxa"/>
        <w:tblInd w:w="0" w:type="dxa"/>
        <w:tblLayout w:type="autofit"/>
        <w:tblCellMar>
          <w:top w:w="0" w:type="dxa"/>
          <w:left w:w="108" w:type="dxa"/>
          <w:bottom w:w="0" w:type="dxa"/>
          <w:right w:w="108" w:type="dxa"/>
        </w:tblCellMar>
      </w:tblPr>
      <w:tblGrid>
        <w:gridCol w:w="1188"/>
        <w:gridCol w:w="4148"/>
        <w:gridCol w:w="3045"/>
      </w:tblGrid>
      <w:tr>
        <w:tblPrEx>
          <w:tblCellMar>
            <w:top w:w="0" w:type="dxa"/>
            <w:left w:w="108" w:type="dxa"/>
            <w:bottom w:w="0" w:type="dxa"/>
            <w:right w:w="108" w:type="dxa"/>
          </w:tblCellMar>
        </w:tblPrEx>
        <w:tc>
          <w:tcPr>
            <w:tcW w:w="1188" w:type="dxa"/>
            <w:vMerge w:val="restart"/>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操作类型</w:t>
            </w:r>
          </w:p>
        </w:tc>
        <w:tc>
          <w:tcPr>
            <w:tcW w:w="7193" w:type="dxa"/>
            <w:gridSpan w:val="2"/>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清污作业组配方案</w:t>
            </w:r>
          </w:p>
        </w:tc>
      </w:tr>
      <w:tr>
        <w:tblPrEx>
          <w:tblCellMar>
            <w:top w:w="0" w:type="dxa"/>
            <w:left w:w="108" w:type="dxa"/>
            <w:bottom w:w="0" w:type="dxa"/>
            <w:right w:w="108" w:type="dxa"/>
          </w:tblCellMar>
        </w:tblPrEx>
        <w:tc>
          <w:tcPr>
            <w:tcW w:w="1188" w:type="dxa"/>
            <w:vMerge w:val="continue"/>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b/>
                <w:color w:val="auto"/>
                <w:sz w:val="24"/>
                <w:szCs w:val="24"/>
              </w:rPr>
            </w:pPr>
          </w:p>
        </w:tc>
        <w:tc>
          <w:tcPr>
            <w:tcW w:w="4148"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设备</w:t>
            </w:r>
          </w:p>
        </w:tc>
        <w:tc>
          <w:tcPr>
            <w:tcW w:w="3045"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人员</w:t>
            </w:r>
          </w:p>
        </w:tc>
      </w:tr>
      <w:tr>
        <w:tblPrEx>
          <w:tblCellMar>
            <w:top w:w="0" w:type="dxa"/>
            <w:left w:w="108" w:type="dxa"/>
            <w:bottom w:w="0" w:type="dxa"/>
            <w:right w:w="108" w:type="dxa"/>
          </w:tblCellMar>
        </w:tblPrEx>
        <w:tc>
          <w:tcPr>
            <w:tcW w:w="1188"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收油作业</w:t>
            </w:r>
          </w:p>
        </w:tc>
        <w:tc>
          <w:tcPr>
            <w:tcW w:w="4148"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专业清污船1艘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围油栏</w:t>
            </w:r>
            <w:r>
              <w:rPr>
                <w:rFonts w:hint="eastAsia" w:ascii="仿宋" w:hAnsi="仿宋" w:eastAsia="仿宋" w:cs="仿宋"/>
                <w:color w:val="auto"/>
                <w:sz w:val="24"/>
                <w:szCs w:val="24"/>
                <w:lang w:eastAsia="zh-CN"/>
              </w:rPr>
              <w:t>布放艇</w:t>
            </w:r>
            <w:r>
              <w:rPr>
                <w:rFonts w:hint="eastAsia" w:ascii="仿宋" w:hAnsi="仿宋" w:eastAsia="仿宋" w:cs="仿宋"/>
                <w:color w:val="auto"/>
                <w:sz w:val="24"/>
                <w:szCs w:val="24"/>
              </w:rPr>
              <w:t>2艘</w:t>
            </w:r>
          </w:p>
        </w:tc>
        <w:tc>
          <w:tcPr>
            <w:tcW w:w="3045"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专业清污船6人/艘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围油栏布</w:t>
            </w:r>
            <w:r>
              <w:rPr>
                <w:rFonts w:hint="eastAsia" w:ascii="仿宋" w:hAnsi="仿宋" w:eastAsia="仿宋" w:cs="仿宋"/>
                <w:color w:val="auto"/>
                <w:sz w:val="24"/>
                <w:szCs w:val="24"/>
                <w:lang w:eastAsia="zh-CN"/>
              </w:rPr>
              <w:t>放艇</w:t>
            </w:r>
            <w:r>
              <w:rPr>
                <w:rFonts w:hint="eastAsia" w:ascii="仿宋" w:hAnsi="仿宋" w:eastAsia="仿宋" w:cs="仿宋"/>
                <w:color w:val="auto"/>
                <w:sz w:val="24"/>
                <w:szCs w:val="24"/>
              </w:rPr>
              <w:t>4人/艘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其他辅助作业人员x人</w:t>
            </w:r>
          </w:p>
        </w:tc>
      </w:tr>
      <w:tr>
        <w:tblPrEx>
          <w:tblCellMar>
            <w:top w:w="0" w:type="dxa"/>
            <w:left w:w="108" w:type="dxa"/>
            <w:bottom w:w="0" w:type="dxa"/>
            <w:right w:w="108" w:type="dxa"/>
          </w:tblCellMar>
        </w:tblPrEx>
        <w:tc>
          <w:tcPr>
            <w:tcW w:w="1188"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吸油拖栏</w:t>
            </w:r>
          </w:p>
        </w:tc>
        <w:tc>
          <w:tcPr>
            <w:tcW w:w="4148"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吸油拖栏拖带工作船2艘</w:t>
            </w:r>
          </w:p>
          <w:p>
            <w:pPr>
              <w:widowControl w:val="0"/>
              <w:numPr>
                <w:ilvl w:val="0"/>
                <w:numId w:val="0"/>
              </w:numPr>
              <w:tabs>
                <w:tab w:val="left" w:pos="420"/>
              </w:tabs>
              <w:ind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吸油拖栏1套</w:t>
            </w:r>
          </w:p>
        </w:tc>
        <w:tc>
          <w:tcPr>
            <w:tcW w:w="3045"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工作船2人/艘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其他辅助作业人员x人</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p>
        </w:tc>
      </w:tr>
      <w:tr>
        <w:tblPrEx>
          <w:tblCellMar>
            <w:top w:w="0" w:type="dxa"/>
            <w:left w:w="108" w:type="dxa"/>
            <w:bottom w:w="0" w:type="dxa"/>
            <w:right w:w="108" w:type="dxa"/>
          </w:tblCellMar>
        </w:tblPrEx>
        <w:tc>
          <w:tcPr>
            <w:tcW w:w="1188"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喷洒溢油</w:t>
            </w:r>
          </w:p>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分散剂</w:t>
            </w:r>
          </w:p>
        </w:tc>
        <w:tc>
          <w:tcPr>
            <w:tcW w:w="4148"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720" w:leftChars="0" w:right="0" w:rightChars="0" w:hanging="720" w:hangingChars="300"/>
              <w:jc w:val="left"/>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专业清污船舶1艘或配有船携式</w:t>
            </w:r>
          </w:p>
          <w:p>
            <w:pPr>
              <w:widowControl w:val="0"/>
              <w:numPr>
                <w:ilvl w:val="0"/>
                <w:numId w:val="0"/>
              </w:numPr>
              <w:tabs>
                <w:tab w:val="left" w:pos="420"/>
              </w:tabs>
              <w:ind w:left="720" w:leftChars="218" w:right="0" w:rightChars="0" w:hanging="240" w:hangingChars="100"/>
              <w:jc w:val="left"/>
              <w:rPr>
                <w:rFonts w:hint="eastAsia" w:ascii="仿宋" w:hAnsi="仿宋" w:eastAsia="仿宋" w:cs="仿宋"/>
                <w:color w:val="auto"/>
                <w:sz w:val="24"/>
                <w:szCs w:val="24"/>
              </w:rPr>
            </w:pPr>
            <w:r>
              <w:rPr>
                <w:rFonts w:hint="eastAsia" w:ascii="仿宋" w:hAnsi="仿宋" w:eastAsia="仿宋" w:cs="仿宋"/>
                <w:color w:val="auto"/>
                <w:sz w:val="24"/>
                <w:szCs w:val="24"/>
              </w:rPr>
              <w:t>消油剂喷洒装置的辅助船舶</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消油剂若干</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消油剂喷洒装置，防护用具</w:t>
            </w:r>
          </w:p>
        </w:tc>
        <w:tc>
          <w:tcPr>
            <w:tcW w:w="3045"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船舶3人/艘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其他辅助作业人员x人</w:t>
            </w:r>
          </w:p>
        </w:tc>
      </w:tr>
      <w:tr>
        <w:tblPrEx>
          <w:tblCellMar>
            <w:top w:w="0" w:type="dxa"/>
            <w:left w:w="108" w:type="dxa"/>
            <w:bottom w:w="0" w:type="dxa"/>
            <w:right w:w="108" w:type="dxa"/>
          </w:tblCellMar>
        </w:tblPrEx>
        <w:tc>
          <w:tcPr>
            <w:tcW w:w="1188"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吸油材料吸附</w:t>
            </w:r>
          </w:p>
        </w:tc>
        <w:tc>
          <w:tcPr>
            <w:tcW w:w="4148"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辅助船舶1艘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抛放及回收器具</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吸油材料若干</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陆上接收转运设备</w:t>
            </w:r>
          </w:p>
        </w:tc>
        <w:tc>
          <w:tcPr>
            <w:tcW w:w="3045"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船舶3人/艘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其他辅助作业人员x人</w:t>
            </w:r>
          </w:p>
        </w:tc>
      </w:tr>
    </w:tbl>
    <w:p>
      <w:pPr>
        <w:pStyle w:val="25"/>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281" w:firstLineChars="100"/>
        <w:textAlignment w:val="auto"/>
        <w:outlineLvl w:val="9"/>
        <w:rPr>
          <w:rFonts w:hint="eastAsia" w:ascii="仿宋" w:hAnsi="仿宋" w:eastAsia="仿宋" w:cs="仿宋"/>
          <w:b/>
          <w:bCs/>
          <w:iCs/>
          <w:color w:val="auto"/>
          <w:sz w:val="28"/>
          <w:szCs w:val="28"/>
          <w:lang w:val="en-US" w:eastAsia="zh-CN"/>
        </w:rPr>
      </w:pPr>
      <w:bookmarkStart w:id="28" w:name="_Toc27384"/>
      <w:bookmarkStart w:id="29" w:name="_Toc20633"/>
    </w:p>
    <w:p>
      <w:pPr>
        <w:pStyle w:val="25"/>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562" w:firstLineChars="200"/>
        <w:textAlignment w:val="auto"/>
        <w:outlineLvl w:val="1"/>
        <w:rPr>
          <w:rFonts w:hint="eastAsia" w:ascii="仿宋" w:hAnsi="仿宋" w:eastAsia="仿宋" w:cs="仿宋"/>
          <w:b/>
          <w:bCs/>
          <w:iCs/>
          <w:color w:val="auto"/>
          <w:sz w:val="28"/>
          <w:szCs w:val="28"/>
        </w:rPr>
      </w:pPr>
      <w:bookmarkStart w:id="30" w:name="_Toc8308"/>
      <w:r>
        <w:rPr>
          <w:rFonts w:hint="eastAsia" w:ascii="仿宋" w:hAnsi="仿宋" w:eastAsia="仿宋" w:cs="仿宋"/>
          <w:b/>
          <w:bCs/>
          <w:iCs/>
          <w:color w:val="auto"/>
          <w:sz w:val="28"/>
          <w:szCs w:val="28"/>
          <w:lang w:val="en-US" w:eastAsia="zh-CN"/>
        </w:rPr>
        <w:t>3</w:t>
      </w:r>
      <w:r>
        <w:rPr>
          <w:rFonts w:hint="eastAsia" w:ascii="仿宋" w:hAnsi="仿宋" w:eastAsia="仿宋" w:cs="仿宋"/>
          <w:b/>
          <w:bCs/>
          <w:iCs/>
          <w:color w:val="auto"/>
          <w:sz w:val="28"/>
          <w:szCs w:val="28"/>
        </w:rPr>
        <w:t>.3</w:t>
      </w:r>
      <w:r>
        <w:rPr>
          <w:rFonts w:hint="eastAsia" w:ascii="仿宋" w:hAnsi="仿宋" w:eastAsia="仿宋" w:cs="仿宋"/>
          <w:b/>
          <w:bCs/>
          <w:iCs/>
          <w:color w:val="auto"/>
          <w:sz w:val="28"/>
          <w:szCs w:val="28"/>
          <w:lang w:val="en-US" w:eastAsia="zh-CN"/>
        </w:rPr>
        <w:t xml:space="preserve"> </w:t>
      </w:r>
      <w:r>
        <w:rPr>
          <w:rFonts w:hint="eastAsia" w:ascii="仿宋" w:hAnsi="仿宋" w:eastAsia="仿宋" w:cs="仿宋"/>
          <w:b/>
          <w:bCs/>
          <w:iCs/>
          <w:color w:val="auto"/>
          <w:sz w:val="28"/>
          <w:szCs w:val="28"/>
        </w:rPr>
        <w:t>清污方案选择策略</w:t>
      </w:r>
      <w:bookmarkEnd w:id="28"/>
      <w:bookmarkEnd w:id="29"/>
      <w:bookmarkEnd w:id="30"/>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本公司在进行清污作业前，将根据不同情景选择清污作业方案，包括：</w:t>
      </w:r>
    </w:p>
    <w:p>
      <w:pPr>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3.3.1 </w:t>
      </w:r>
      <w:r>
        <w:rPr>
          <w:rFonts w:hint="eastAsia" w:ascii="仿宋" w:hAnsi="仿宋" w:eastAsia="仿宋" w:cs="仿宋"/>
          <w:b/>
          <w:bCs/>
          <w:color w:val="auto"/>
          <w:sz w:val="28"/>
          <w:szCs w:val="28"/>
        </w:rPr>
        <w:t>应急堵漏、卸载</w:t>
      </w:r>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即对船舶泄漏破口进行堵漏，将</w:t>
      </w:r>
      <w:r>
        <w:rPr>
          <w:rFonts w:hint="eastAsia" w:ascii="仿宋" w:hAnsi="仿宋" w:eastAsia="仿宋" w:cs="仿宋"/>
          <w:color w:val="auto"/>
          <w:sz w:val="28"/>
          <w:szCs w:val="28"/>
          <w:lang w:val="en-US" w:eastAsia="zh-CN"/>
        </w:rPr>
        <w:t>船舶内油品</w:t>
      </w:r>
      <w:r>
        <w:rPr>
          <w:rFonts w:hint="eastAsia" w:ascii="仿宋" w:hAnsi="仿宋" w:eastAsia="仿宋" w:cs="仿宋"/>
          <w:color w:val="auto"/>
          <w:sz w:val="28"/>
          <w:szCs w:val="28"/>
        </w:rPr>
        <w:t>转驳到其他船舶，阻止油品泄漏和防止事态扩大。</w:t>
      </w:r>
    </w:p>
    <w:p>
      <w:pPr>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3.3.2 </w:t>
      </w:r>
      <w:r>
        <w:rPr>
          <w:rFonts w:hint="eastAsia" w:ascii="仿宋" w:hAnsi="仿宋" w:eastAsia="仿宋" w:cs="仿宋"/>
          <w:b/>
          <w:bCs/>
          <w:color w:val="auto"/>
          <w:sz w:val="28"/>
          <w:szCs w:val="28"/>
        </w:rPr>
        <w:t>敏感资源的维护和污染清除</w:t>
      </w:r>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生态自然保护区</w:t>
      </w:r>
      <w:r>
        <w:rPr>
          <w:rFonts w:hint="eastAsia" w:ascii="仿宋" w:hAnsi="仿宋" w:eastAsia="仿宋" w:cs="仿宋"/>
          <w:color w:val="auto"/>
          <w:sz w:val="28"/>
          <w:szCs w:val="28"/>
        </w:rPr>
        <w:t>、渔业捕捞和养殖水域</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工业用水取水口</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公众娱乐场所</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岸线等敏感资源，根据监视和溢油迁移扩散预测，对将受到溢油威胁的岸线及敏感资源采取保护措施，以免溢油上岸后污染岸线及敏感资源。对于已经遭受污染的敏感资源，则采取围控、回收、化学分散、冲洗等方法清除。</w:t>
      </w:r>
    </w:p>
    <w:p>
      <w:pPr>
        <w:spacing w:line="360" w:lineRule="auto"/>
        <w:ind w:firstLine="562" w:firstLineChars="200"/>
        <w:jc w:val="both"/>
        <w:rPr>
          <w:rFonts w:hint="eastAsia" w:ascii="仿宋" w:hAnsi="仿宋" w:eastAsia="仿宋" w:cs="仿宋"/>
          <w:color w:val="auto"/>
          <w:sz w:val="28"/>
          <w:szCs w:val="28"/>
        </w:rPr>
      </w:pPr>
      <w:r>
        <w:rPr>
          <w:rFonts w:hint="eastAsia" w:ascii="仿宋" w:hAnsi="仿宋" w:eastAsia="仿宋" w:cs="仿宋"/>
          <w:b/>
          <w:bCs/>
          <w:color w:val="auto"/>
          <w:sz w:val="28"/>
          <w:szCs w:val="28"/>
          <w:lang w:val="en-US" w:eastAsia="zh-CN"/>
        </w:rPr>
        <w:t xml:space="preserve">3.3.3 </w:t>
      </w:r>
      <w:r>
        <w:rPr>
          <w:rFonts w:hint="eastAsia" w:ascii="仿宋" w:hAnsi="仿宋" w:eastAsia="仿宋" w:cs="仿宋"/>
          <w:b/>
          <w:bCs/>
          <w:color w:val="auto"/>
          <w:sz w:val="28"/>
          <w:szCs w:val="28"/>
        </w:rPr>
        <w:t>海上污染物回收和清除</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采用专业清污船和辅助船舶、围油栏、收油机、溢油分散剂和吸油材料进行回收或清除。</w:t>
      </w:r>
    </w:p>
    <w:p>
      <w:pPr>
        <w:keepLines w:val="0"/>
        <w:pageBreakBefore w:val="0"/>
        <w:widowControl/>
        <w:numPr>
          <w:ilvl w:val="0"/>
          <w:numId w:val="0"/>
        </w:numPr>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3.3.4 </w:t>
      </w:r>
      <w:r>
        <w:rPr>
          <w:rFonts w:hint="eastAsia" w:ascii="仿宋" w:hAnsi="仿宋" w:eastAsia="仿宋" w:cs="仿宋"/>
          <w:b/>
          <w:bCs/>
          <w:color w:val="auto"/>
          <w:sz w:val="28"/>
          <w:szCs w:val="28"/>
        </w:rPr>
        <w:t>岸线污染物清除</w:t>
      </w:r>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根据海岸线的不同类型和污染程度，采取岸线污染清除措施。</w:t>
      </w:r>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在大规模的溢油事故时，通常需要采用几种方案联合反应。当遇到本公司应急力量难以独立应对的溢油事故时，本公司</w:t>
      </w:r>
      <w:r>
        <w:rPr>
          <w:rFonts w:hint="eastAsia" w:ascii="仿宋" w:hAnsi="仿宋" w:eastAsia="仿宋" w:cs="仿宋"/>
          <w:color w:val="auto"/>
          <w:sz w:val="28"/>
          <w:szCs w:val="28"/>
          <w:lang w:val="en-US" w:eastAsia="zh-CN"/>
        </w:rPr>
        <w:t>上报并</w:t>
      </w:r>
      <w:r>
        <w:rPr>
          <w:rFonts w:hint="eastAsia" w:ascii="仿宋" w:hAnsi="仿宋" w:eastAsia="仿宋" w:cs="仿宋"/>
          <w:color w:val="auto"/>
          <w:sz w:val="28"/>
          <w:szCs w:val="28"/>
        </w:rPr>
        <w:t>服从</w:t>
      </w:r>
      <w:r>
        <w:rPr>
          <w:rFonts w:hint="eastAsia" w:ascii="仿宋" w:hAnsi="仿宋" w:eastAsia="仿宋" w:cs="仿宋"/>
          <w:color w:val="auto"/>
          <w:sz w:val="28"/>
          <w:szCs w:val="28"/>
          <w:lang w:val="en-US" w:eastAsia="zh-CN"/>
        </w:rPr>
        <w:t>当地</w:t>
      </w:r>
      <w:r>
        <w:rPr>
          <w:rFonts w:hint="eastAsia" w:ascii="仿宋" w:hAnsi="仿宋" w:eastAsia="仿宋" w:cs="仿宋"/>
          <w:color w:val="auto"/>
          <w:sz w:val="28"/>
          <w:szCs w:val="28"/>
        </w:rPr>
        <w:t>海事管理机构的</w:t>
      </w:r>
      <w:r>
        <w:rPr>
          <w:rFonts w:hint="eastAsia" w:ascii="仿宋" w:hAnsi="仿宋" w:eastAsia="仿宋" w:cs="仿宋"/>
          <w:color w:val="auto"/>
          <w:sz w:val="28"/>
          <w:szCs w:val="28"/>
          <w:lang w:val="en-US" w:eastAsia="zh-CN"/>
        </w:rPr>
        <w:t>统一</w:t>
      </w:r>
      <w:r>
        <w:rPr>
          <w:rFonts w:hint="eastAsia" w:ascii="仿宋" w:hAnsi="仿宋" w:eastAsia="仿宋" w:cs="仿宋"/>
          <w:color w:val="auto"/>
          <w:sz w:val="28"/>
          <w:szCs w:val="28"/>
        </w:rPr>
        <w:t>指挥</w:t>
      </w:r>
      <w:r>
        <w:rPr>
          <w:rFonts w:hint="eastAsia" w:ascii="仿宋" w:hAnsi="仿宋" w:eastAsia="仿宋" w:cs="仿宋"/>
          <w:color w:val="auto"/>
          <w:sz w:val="28"/>
          <w:szCs w:val="28"/>
          <w:lang w:val="en-US" w:eastAsia="zh-CN"/>
        </w:rPr>
        <w:t>协调，</w:t>
      </w:r>
      <w:r>
        <w:rPr>
          <w:rFonts w:hint="eastAsia" w:ascii="仿宋" w:hAnsi="仿宋" w:eastAsia="仿宋" w:cs="仿宋"/>
          <w:color w:val="auto"/>
          <w:sz w:val="28"/>
          <w:szCs w:val="28"/>
        </w:rPr>
        <w:t>进行清污作业。</w:t>
      </w:r>
      <w:bookmarkStart w:id="31" w:name="_Toc22778"/>
      <w:bookmarkStart w:id="32" w:name="_Toc5910"/>
      <w:bookmarkStart w:id="33" w:name="_Toc1446"/>
    </w:p>
    <w:p>
      <w:pPr>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bCs/>
          <w:iCs/>
          <w:color w:val="auto"/>
          <w:sz w:val="28"/>
          <w:szCs w:val="28"/>
        </w:rPr>
      </w:pPr>
      <w:r>
        <w:rPr>
          <w:rFonts w:hint="eastAsia" w:ascii="仿宋" w:hAnsi="仿宋" w:eastAsia="仿宋" w:cs="仿宋"/>
          <w:b/>
          <w:bCs/>
          <w:iCs/>
          <w:color w:val="auto"/>
          <w:sz w:val="28"/>
          <w:szCs w:val="28"/>
          <w:lang w:val="en-US" w:eastAsia="zh-CN"/>
        </w:rPr>
        <w:t>3</w:t>
      </w:r>
      <w:r>
        <w:rPr>
          <w:rFonts w:hint="eastAsia" w:ascii="仿宋" w:hAnsi="仿宋" w:eastAsia="仿宋" w:cs="仿宋"/>
          <w:b/>
          <w:bCs/>
          <w:iCs/>
          <w:color w:val="auto"/>
          <w:sz w:val="28"/>
          <w:szCs w:val="28"/>
        </w:rPr>
        <w:t>.</w:t>
      </w:r>
      <w:r>
        <w:rPr>
          <w:rFonts w:hint="eastAsia" w:ascii="仿宋" w:hAnsi="仿宋" w:eastAsia="仿宋" w:cs="仿宋"/>
          <w:b/>
          <w:bCs/>
          <w:iCs/>
          <w:color w:val="auto"/>
          <w:sz w:val="28"/>
          <w:szCs w:val="28"/>
          <w:lang w:val="en-US" w:eastAsia="zh-CN"/>
        </w:rPr>
        <w:t xml:space="preserve">4 </w:t>
      </w:r>
      <w:r>
        <w:rPr>
          <w:rFonts w:hint="eastAsia" w:ascii="仿宋" w:hAnsi="仿宋" w:eastAsia="仿宋" w:cs="仿宋"/>
          <w:b/>
          <w:bCs/>
          <w:iCs/>
          <w:color w:val="auto"/>
          <w:sz w:val="28"/>
          <w:szCs w:val="28"/>
        </w:rPr>
        <w:t>典型场景清污策略</w:t>
      </w:r>
      <w:bookmarkEnd w:id="31"/>
      <w:bookmarkEnd w:id="32"/>
      <w:bookmarkEnd w:id="33"/>
      <w:bookmarkStart w:id="34" w:name="_Toc3268"/>
    </w:p>
    <w:p>
      <w:pPr>
        <w:spacing w:line="360" w:lineRule="auto"/>
        <w:ind w:firstLine="562" w:firstLineChars="200"/>
        <w:rPr>
          <w:rFonts w:hint="eastAsia" w:ascii="仿宋" w:hAnsi="仿宋" w:eastAsia="仿宋" w:cs="仿宋"/>
          <w:b/>
          <w:bCs/>
          <w:sz w:val="28"/>
          <w:szCs w:val="28"/>
        </w:rPr>
      </w:pPr>
      <w:r>
        <w:rPr>
          <w:rFonts w:hint="eastAsia" w:ascii="仿宋" w:hAnsi="仿宋" w:eastAsia="仿宋" w:cs="仿宋"/>
          <w:b/>
          <w:bCs/>
          <w:sz w:val="28"/>
          <w:szCs w:val="28"/>
          <w:lang w:val="en-US" w:eastAsia="zh-CN"/>
        </w:rPr>
        <w:t>3</w:t>
      </w:r>
      <w:r>
        <w:rPr>
          <w:rFonts w:hint="eastAsia" w:ascii="仿宋" w:hAnsi="仿宋" w:eastAsia="仿宋" w:cs="仿宋"/>
          <w:b/>
          <w:bCs/>
          <w:sz w:val="28"/>
          <w:szCs w:val="28"/>
        </w:rPr>
        <w:t>.4.1</w:t>
      </w: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rPr>
        <w:t>分船型和油种的清污策略</w:t>
      </w:r>
      <w:bookmarkEnd w:id="34"/>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sz w:val="28"/>
          <w:szCs w:val="28"/>
          <w:lang w:val="en-US" w:eastAsia="zh-CN"/>
        </w:rPr>
        <w:t>船舶污染风险分为海难性事故和操作性事故，根据事故发生类型及地点</w:t>
      </w:r>
      <w:r>
        <w:rPr>
          <w:rFonts w:hint="eastAsia" w:ascii="仿宋" w:hAnsi="仿宋" w:eastAsia="仿宋" w:cs="仿宋"/>
          <w:sz w:val="28"/>
          <w:szCs w:val="28"/>
        </w:rPr>
        <w:t>的</w:t>
      </w:r>
      <w:r>
        <w:rPr>
          <w:rFonts w:hint="eastAsia" w:ascii="仿宋" w:hAnsi="仿宋" w:eastAsia="仿宋" w:cs="仿宋"/>
          <w:color w:val="auto"/>
          <w:sz w:val="28"/>
          <w:szCs w:val="28"/>
        </w:rPr>
        <w:t>不同，本方案将作业地点分为外海区域和近岸（港池）区域。本方案将船舶类型按载运货种进行分类，分为载运“持久性油类”</w:t>
      </w:r>
      <w:r>
        <w:rPr>
          <w:rFonts w:hint="eastAsia" w:ascii="仿宋" w:hAnsi="仿宋" w:eastAsia="仿宋" w:cs="仿宋"/>
          <w:color w:val="auto"/>
          <w:sz w:val="28"/>
          <w:szCs w:val="28"/>
          <w:lang w:val="en-US" w:eastAsia="zh-CN"/>
        </w:rPr>
        <w:t>的船舶、载运</w:t>
      </w:r>
      <w:r>
        <w:rPr>
          <w:rFonts w:hint="eastAsia" w:ascii="仿宋" w:hAnsi="仿宋" w:eastAsia="仿宋" w:cs="仿宋"/>
          <w:color w:val="auto"/>
          <w:sz w:val="28"/>
          <w:szCs w:val="28"/>
        </w:rPr>
        <w:t>“非持久性油类”的</w:t>
      </w:r>
      <w:r>
        <w:rPr>
          <w:rFonts w:hint="eastAsia" w:ascii="仿宋" w:hAnsi="仿宋" w:eastAsia="仿宋" w:cs="仿宋"/>
          <w:color w:val="auto"/>
          <w:sz w:val="28"/>
          <w:szCs w:val="28"/>
          <w:lang w:val="en-US" w:eastAsia="zh-CN"/>
        </w:rPr>
        <w:t>船舶</w:t>
      </w:r>
      <w:r>
        <w:rPr>
          <w:rFonts w:hint="eastAsia" w:ascii="仿宋" w:hAnsi="仿宋" w:eastAsia="仿宋" w:cs="仿宋"/>
          <w:color w:val="auto"/>
          <w:sz w:val="28"/>
          <w:szCs w:val="28"/>
        </w:rPr>
        <w:t>及普通船舶。</w:t>
      </w:r>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b/>
          <w:color w:val="auto"/>
          <w:sz w:val="28"/>
          <w:szCs w:val="28"/>
        </w:rPr>
      </w:pPr>
      <w:r>
        <w:rPr>
          <w:rFonts w:hint="eastAsia" w:ascii="仿宋" w:hAnsi="仿宋" w:eastAsia="仿宋" w:cs="仿宋"/>
          <w:color w:val="auto"/>
          <w:sz w:val="28"/>
          <w:szCs w:val="28"/>
        </w:rPr>
        <w:t>典型场景的清污方案见表</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-2。</w:t>
      </w:r>
    </w:p>
    <w:p>
      <w:pPr>
        <w:spacing w:line="480" w:lineRule="exact"/>
        <w:jc w:val="center"/>
        <w:rPr>
          <w:rFonts w:hint="eastAsia" w:ascii="仿宋" w:hAnsi="仿宋" w:eastAsia="仿宋" w:cs="仿宋"/>
          <w:color w:val="auto"/>
          <w:sz w:val="28"/>
          <w:szCs w:val="28"/>
          <w:lang w:eastAsia="zh-CN"/>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3</w:t>
      </w:r>
      <w:r>
        <w:rPr>
          <w:rFonts w:hint="eastAsia" w:ascii="仿宋" w:hAnsi="仿宋" w:eastAsia="仿宋" w:cs="仿宋"/>
          <w:b/>
          <w:color w:val="auto"/>
          <w:sz w:val="28"/>
          <w:szCs w:val="28"/>
        </w:rPr>
        <w:t>-2 典型场景的清污方</w:t>
      </w:r>
      <w:r>
        <w:rPr>
          <w:rFonts w:hint="eastAsia" w:ascii="仿宋" w:hAnsi="仿宋" w:eastAsia="仿宋" w:cs="仿宋"/>
          <w:b/>
          <w:color w:val="auto"/>
          <w:sz w:val="28"/>
          <w:szCs w:val="28"/>
          <w:lang w:eastAsia="zh-CN"/>
        </w:rPr>
        <w:t>案</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25"/>
        <w:gridCol w:w="1409"/>
        <w:gridCol w:w="1908"/>
        <w:gridCol w:w="516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606" w:hRule="atLeast"/>
          <w:tblHeader/>
          <w:jc w:val="center"/>
        </w:trPr>
        <w:tc>
          <w:tcPr>
            <w:tcW w:w="482" w:type="dxa"/>
            <w:tcBorders>
              <w:tl2br w:val="nil"/>
              <w:tr2bl w:val="nil"/>
            </w:tcBorders>
            <w:noWrap w:val="0"/>
            <w:textDirection w:val="tbRlV"/>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区域</w:t>
            </w:r>
          </w:p>
        </w:tc>
        <w:tc>
          <w:tcPr>
            <w:tcW w:w="3046" w:type="dxa"/>
            <w:gridSpan w:val="2"/>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船型及污染物</w:t>
            </w:r>
          </w:p>
        </w:tc>
        <w:tc>
          <w:tcPr>
            <w:tcW w:w="4741" w:type="dxa"/>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清污方案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803" w:hRule="atLeast"/>
          <w:jc w:val="center"/>
        </w:trPr>
        <w:tc>
          <w:tcPr>
            <w:tcW w:w="482" w:type="dxa"/>
            <w:vMerge w:val="restart"/>
            <w:tcBorders>
              <w:tl2br w:val="nil"/>
              <w:tr2bl w:val="nil"/>
            </w:tcBorders>
            <w:noWrap w:val="0"/>
            <w:textDirection w:val="tbRlV"/>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外海</w:t>
            </w:r>
          </w:p>
        </w:tc>
        <w:tc>
          <w:tcPr>
            <w:tcW w:w="1294"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载运散装“持久性油类”的船舶</w:t>
            </w:r>
          </w:p>
        </w:tc>
        <w:tc>
          <w:tcPr>
            <w:tcW w:w="1752"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持久性油类，如原油、燃油、重柴油和润滑油等；</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船舶燃料油</w:t>
            </w:r>
          </w:p>
        </w:tc>
        <w:tc>
          <w:tcPr>
            <w:tcW w:w="4741" w:type="dxa"/>
            <w:vMerge w:val="restart"/>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在气象海况条件允许的情况下，采取如下应急反应和污染物清除措施：</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1、切断溢油源</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（1）应急堵漏，见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（2）应急卸载，见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.2。</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2、溢油围控，见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3、海面溢油的回收</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（1）机械清除，见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（2）使用溢油分散剂，见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.2.2；</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（3）吸油材料的使用，见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.2.3；</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（4）人工捞取。</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4、如果溢油最终污染岸线，则需采取主要敏感资源的围护措施（见</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.1）和岸线清除措施（见</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.2、</w:t>
            </w:r>
            <w:r>
              <w:rPr>
                <w:rFonts w:hint="eastAsia" w:ascii="仿宋" w:hAnsi="仿宋" w:eastAsia="仿宋" w:cs="仿宋"/>
                <w:color w:val="auto"/>
                <w:sz w:val="24"/>
                <w:szCs w:val="24"/>
                <w:lang w:val="en-US" w:eastAsia="zh-CN"/>
              </w:rPr>
              <w:t>7</w:t>
            </w:r>
            <w:r>
              <w:rPr>
                <w:rFonts w:hint="eastAsia" w:ascii="仿宋" w:hAnsi="仿宋" w:eastAsia="仿宋" w:cs="仿宋"/>
                <w:color w:val="auto"/>
                <w:sz w:val="24"/>
                <w:szCs w:val="24"/>
              </w:rPr>
              <w:t>.2和</w:t>
            </w:r>
            <w:r>
              <w:rPr>
                <w:rFonts w:hint="eastAsia" w:ascii="仿宋" w:hAnsi="仿宋" w:eastAsia="仿宋" w:cs="仿宋"/>
                <w:color w:val="auto"/>
                <w:sz w:val="24"/>
                <w:szCs w:val="24"/>
                <w:lang w:val="en-US" w:eastAsia="zh-CN"/>
              </w:rPr>
              <w:t>7</w:t>
            </w:r>
            <w:r>
              <w:rPr>
                <w:rFonts w:hint="eastAsia" w:ascii="仿宋" w:hAnsi="仿宋" w:eastAsia="仿宋" w:cs="仿宋"/>
                <w:color w:val="auto"/>
                <w:sz w:val="24"/>
                <w:szCs w:val="24"/>
              </w:rPr>
              <w:t>.3）；</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5、作业安全方案见本方案第</w:t>
            </w:r>
            <w:r>
              <w:rPr>
                <w:rFonts w:hint="eastAsia" w:ascii="仿宋" w:hAnsi="仿宋" w:eastAsia="仿宋" w:cs="仿宋"/>
                <w:color w:val="auto"/>
                <w:sz w:val="24"/>
                <w:szCs w:val="24"/>
                <w:lang w:val="en-US" w:eastAsia="zh-CN"/>
              </w:rPr>
              <w:t>8</w:t>
            </w:r>
            <w:r>
              <w:rPr>
                <w:rFonts w:hint="eastAsia" w:ascii="仿宋" w:hAnsi="仿宋" w:eastAsia="仿宋" w:cs="仿宋"/>
                <w:color w:val="auto"/>
                <w:sz w:val="24"/>
                <w:szCs w:val="24"/>
              </w:rPr>
              <w:t>部分；</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6、回收的污染物处理方案，见《污染物处理方案》。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0" w:hRule="atLeast"/>
          <w:jc w:val="center"/>
        </w:trPr>
        <w:tc>
          <w:tcPr>
            <w:tcW w:w="482" w:type="dxa"/>
            <w:vMerge w:val="continue"/>
            <w:tcBorders>
              <w:tl2br w:val="nil"/>
              <w:tr2bl w:val="nil"/>
            </w:tcBorders>
            <w:noWrap w:val="0"/>
            <w:textDirection w:val="tbRlV"/>
            <w:vAlign w:val="center"/>
          </w:tcPr>
          <w:p>
            <w:pPr>
              <w:spacing w:line="240" w:lineRule="auto"/>
              <w:rPr>
                <w:rFonts w:hint="eastAsia" w:ascii="仿宋" w:hAnsi="仿宋" w:eastAsia="仿宋" w:cs="仿宋"/>
                <w:color w:val="auto"/>
                <w:sz w:val="24"/>
                <w:szCs w:val="24"/>
              </w:rPr>
            </w:pPr>
          </w:p>
        </w:tc>
        <w:tc>
          <w:tcPr>
            <w:tcW w:w="1294"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普通船舶</w:t>
            </w:r>
          </w:p>
        </w:tc>
        <w:tc>
          <w:tcPr>
            <w:tcW w:w="1752"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船舶燃料油</w:t>
            </w:r>
          </w:p>
        </w:tc>
        <w:tc>
          <w:tcPr>
            <w:tcW w:w="4741" w:type="dxa"/>
            <w:vMerge w:val="continue"/>
            <w:tcBorders>
              <w:tl2br w:val="nil"/>
              <w:tr2bl w:val="nil"/>
            </w:tcBorders>
            <w:noWrap w:val="0"/>
            <w:vAlign w:val="center"/>
          </w:tcPr>
          <w:p>
            <w:pPr>
              <w:spacing w:line="240" w:lineRule="auto"/>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3" w:hRule="atLeast"/>
          <w:jc w:val="center"/>
        </w:trPr>
        <w:tc>
          <w:tcPr>
            <w:tcW w:w="482" w:type="dxa"/>
            <w:vMerge w:val="continue"/>
            <w:tcBorders>
              <w:tl2br w:val="nil"/>
              <w:tr2bl w:val="nil"/>
            </w:tcBorders>
            <w:noWrap w:val="0"/>
            <w:textDirection w:val="tbRlV"/>
            <w:vAlign w:val="center"/>
          </w:tcPr>
          <w:p>
            <w:pPr>
              <w:spacing w:line="240" w:lineRule="auto"/>
              <w:rPr>
                <w:rFonts w:hint="eastAsia" w:ascii="仿宋" w:hAnsi="仿宋" w:eastAsia="仿宋" w:cs="仿宋"/>
                <w:color w:val="auto"/>
                <w:sz w:val="24"/>
                <w:szCs w:val="24"/>
              </w:rPr>
            </w:pPr>
          </w:p>
        </w:tc>
        <w:tc>
          <w:tcPr>
            <w:tcW w:w="1294"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载运散装“非持久性油类”的船舶</w:t>
            </w:r>
          </w:p>
        </w:tc>
        <w:tc>
          <w:tcPr>
            <w:tcW w:w="1752"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非持久性油类，如汽油、轻质柴油、航空煤油、轻质原油等</w:t>
            </w:r>
          </w:p>
        </w:tc>
        <w:tc>
          <w:tcPr>
            <w:tcW w:w="4741" w:type="dxa"/>
            <w:tcBorders>
              <w:tl2br w:val="nil"/>
              <w:tr2bl w:val="nil"/>
            </w:tcBorders>
            <w:noWrap w:val="0"/>
            <w:vAlign w:val="center"/>
          </w:tcPr>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1、切断溢油源，评估应急堵漏和应急卸载的必要性和可能性（见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.1和</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.2）；</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2、一般不采取回收方式，让其挥发</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（1）持续监视，密切关注其动向；</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（2）同时采取安全监护措施，防止船舶进入危险区域而发生火灾爆炸事故；</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3、当有可能向附近敏感区域迁移时，可使用防火围油栏拦截和导向；</w:t>
            </w:r>
          </w:p>
          <w:p>
            <w:pPr>
              <w:pStyle w:val="12"/>
              <w:widowControl w:val="0"/>
              <w:spacing w:before="0" w:beforeAutospacing="0" w:after="0" w:afterAutospacing="0" w:line="240" w:lineRule="auto"/>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rPr>
              <w:t>4、在有可能引起火灾的情况下，可使用化学消油剂，见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.2.2</w:t>
            </w:r>
            <w:r>
              <w:rPr>
                <w:rFonts w:hint="eastAsia" w:ascii="仿宋" w:hAnsi="仿宋" w:eastAsia="仿宋" w:cs="仿宋"/>
                <w:color w:val="auto"/>
                <w:sz w:val="24"/>
                <w:szCs w:val="24"/>
                <w:lang w:eastAsia="zh-CN"/>
              </w:rPr>
              <w:t>；</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5、作业安全方案见本方案第</w:t>
            </w:r>
            <w:r>
              <w:rPr>
                <w:rFonts w:hint="eastAsia" w:ascii="仿宋" w:hAnsi="仿宋" w:eastAsia="仿宋" w:cs="仿宋"/>
                <w:color w:val="auto"/>
                <w:sz w:val="24"/>
                <w:szCs w:val="24"/>
                <w:lang w:val="en-US" w:eastAsia="zh-CN"/>
              </w:rPr>
              <w:t>8</w:t>
            </w:r>
            <w:r>
              <w:rPr>
                <w:rFonts w:hint="eastAsia" w:ascii="仿宋" w:hAnsi="仿宋" w:eastAsia="仿宋" w:cs="仿宋"/>
                <w:color w:val="auto"/>
                <w:sz w:val="24"/>
                <w:szCs w:val="24"/>
              </w:rPr>
              <w:t>部分。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55" w:hRule="atLeast"/>
          <w:jc w:val="center"/>
        </w:trPr>
        <w:tc>
          <w:tcPr>
            <w:tcW w:w="482" w:type="dxa"/>
            <w:vMerge w:val="restart"/>
            <w:tcBorders>
              <w:tl2br w:val="nil"/>
              <w:tr2bl w:val="nil"/>
            </w:tcBorders>
            <w:noWrap w:val="0"/>
            <w:textDirection w:val="tbRlV"/>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近岸（港池）</w:t>
            </w:r>
          </w:p>
        </w:tc>
        <w:tc>
          <w:tcPr>
            <w:tcW w:w="1294"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载运散装“持久性油类”的船舶</w:t>
            </w:r>
          </w:p>
        </w:tc>
        <w:tc>
          <w:tcPr>
            <w:tcW w:w="1752"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持久性油类，如原油、燃油、重柴油和润滑油等；</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船舶燃料油</w:t>
            </w:r>
          </w:p>
        </w:tc>
        <w:tc>
          <w:tcPr>
            <w:tcW w:w="4741" w:type="dxa"/>
            <w:vMerge w:val="restart"/>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采取如下应急反应和污染物清除措施</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1、切断溢油源</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（1）应急围控，见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（2）应急堵漏，见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（3）应急卸载，见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.2；</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（4）同时采取周边水域、码头的隔离措施，防止无关的船舶、人员进入事故影响区域。</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2、溢油围控，见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3、港池水面溢油的回收</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（1）机械清除，见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（2）吸油材料的使用，见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.2.3；</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（3）人工捞取。</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（4）使用溢油分散剂，见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.2.2；</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4、码头岸壁/沾染油污船壁清除，见</w:t>
            </w:r>
            <w:r>
              <w:rPr>
                <w:rFonts w:hint="eastAsia" w:ascii="仿宋" w:hAnsi="仿宋" w:eastAsia="仿宋" w:cs="仿宋"/>
                <w:color w:val="auto"/>
                <w:sz w:val="24"/>
                <w:szCs w:val="24"/>
                <w:lang w:val="en-US" w:eastAsia="zh-CN"/>
              </w:rPr>
              <w:t>3</w:t>
            </w: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5、作业安全方案见本方案第</w:t>
            </w:r>
            <w:r>
              <w:rPr>
                <w:rFonts w:hint="eastAsia" w:ascii="仿宋" w:hAnsi="仿宋" w:eastAsia="仿宋" w:cs="仿宋"/>
                <w:color w:val="auto"/>
                <w:sz w:val="24"/>
                <w:szCs w:val="24"/>
                <w:lang w:val="en-US" w:eastAsia="zh-CN"/>
              </w:rPr>
              <w:t>8</w:t>
            </w:r>
            <w:r>
              <w:rPr>
                <w:rFonts w:hint="eastAsia" w:ascii="仿宋" w:hAnsi="仿宋" w:eastAsia="仿宋" w:cs="仿宋"/>
                <w:color w:val="auto"/>
                <w:sz w:val="24"/>
                <w:szCs w:val="24"/>
              </w:rPr>
              <w:t>部分；</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6、回收的污染物处理方案，见《污染物处理方案》。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74" w:hRule="atLeast"/>
          <w:jc w:val="center"/>
        </w:trPr>
        <w:tc>
          <w:tcPr>
            <w:tcW w:w="482" w:type="dxa"/>
            <w:vMerge w:val="continue"/>
            <w:tcBorders>
              <w:tl2br w:val="nil"/>
              <w:tr2bl w:val="nil"/>
            </w:tcBorders>
            <w:noWrap w:val="0"/>
            <w:vAlign w:val="center"/>
          </w:tcPr>
          <w:p>
            <w:pPr>
              <w:spacing w:line="240" w:lineRule="auto"/>
              <w:rPr>
                <w:rFonts w:hint="eastAsia" w:ascii="仿宋" w:hAnsi="仿宋" w:eastAsia="仿宋" w:cs="仿宋"/>
                <w:color w:val="auto"/>
                <w:sz w:val="24"/>
                <w:szCs w:val="24"/>
              </w:rPr>
            </w:pPr>
          </w:p>
        </w:tc>
        <w:tc>
          <w:tcPr>
            <w:tcW w:w="1294"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普通船舶</w:t>
            </w:r>
          </w:p>
        </w:tc>
        <w:tc>
          <w:tcPr>
            <w:tcW w:w="1752"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船舶燃料油</w:t>
            </w:r>
          </w:p>
        </w:tc>
        <w:tc>
          <w:tcPr>
            <w:tcW w:w="4741" w:type="dxa"/>
            <w:vMerge w:val="continue"/>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82" w:type="dxa"/>
            <w:vMerge w:val="continue"/>
            <w:tcBorders>
              <w:tl2br w:val="nil"/>
              <w:tr2bl w:val="nil"/>
            </w:tcBorders>
            <w:noWrap w:val="0"/>
            <w:vAlign w:val="center"/>
          </w:tcPr>
          <w:p>
            <w:pPr>
              <w:spacing w:line="240" w:lineRule="auto"/>
              <w:rPr>
                <w:rFonts w:hint="eastAsia" w:ascii="仿宋" w:hAnsi="仿宋" w:eastAsia="仿宋" w:cs="仿宋"/>
                <w:color w:val="auto"/>
                <w:sz w:val="24"/>
                <w:szCs w:val="24"/>
              </w:rPr>
            </w:pPr>
          </w:p>
        </w:tc>
        <w:tc>
          <w:tcPr>
            <w:tcW w:w="1294"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载运散装“非持久性油类”的船舶</w:t>
            </w:r>
          </w:p>
        </w:tc>
        <w:tc>
          <w:tcPr>
            <w:tcW w:w="1752"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非持久性油类，如汽油、轻质柴油、航空煤油、轻质原油等</w:t>
            </w:r>
          </w:p>
        </w:tc>
        <w:tc>
          <w:tcPr>
            <w:tcW w:w="4741" w:type="dxa"/>
            <w:tcBorders>
              <w:tl2br w:val="nil"/>
              <w:tr2bl w:val="nil"/>
            </w:tcBorders>
            <w:noWrap w:val="0"/>
            <w:vAlign w:val="center"/>
          </w:tcPr>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1、切断溢油源，评估应急堵漏和应急卸载的必要性和可能性（见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.1和</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.2）；</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2、一般不采取回收方式，让其挥发</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（1）持续监视，密切关注其动向；</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（2）同时采取安全监护措施，对周边区域的码头、船舶及相关单位发出危险警告，防止因发生火灾爆炸、人员中毒事故；</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3、当有可能向附近敏感区域迁移时，可使用围油栏拦截和导向；</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4、在有可能引起火灾的情况下，可使用化学消油剂，见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.2.2；</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5、作业安全方案见本方案第</w:t>
            </w:r>
            <w:r>
              <w:rPr>
                <w:rFonts w:hint="eastAsia" w:ascii="仿宋" w:hAnsi="仿宋" w:eastAsia="仿宋" w:cs="仿宋"/>
                <w:color w:val="auto"/>
                <w:sz w:val="24"/>
                <w:szCs w:val="24"/>
                <w:lang w:val="en-US" w:eastAsia="zh-CN"/>
              </w:rPr>
              <w:t>8</w:t>
            </w:r>
            <w:r>
              <w:rPr>
                <w:rFonts w:hint="eastAsia" w:ascii="仿宋" w:hAnsi="仿宋" w:eastAsia="仿宋" w:cs="仿宋"/>
                <w:color w:val="auto"/>
                <w:sz w:val="24"/>
                <w:szCs w:val="24"/>
              </w:rPr>
              <w:t>部分。</w:t>
            </w:r>
          </w:p>
        </w:tc>
      </w:tr>
    </w:tbl>
    <w:p>
      <w:pPr>
        <w:spacing w:line="480" w:lineRule="exact"/>
        <w:jc w:val="both"/>
        <w:rPr>
          <w:rFonts w:hint="eastAsia" w:ascii="仿宋" w:hAnsi="仿宋" w:eastAsia="仿宋" w:cs="仿宋"/>
          <w:b/>
          <w:color w:val="auto"/>
          <w:sz w:val="21"/>
          <w:szCs w:val="21"/>
        </w:rPr>
      </w:pPr>
    </w:p>
    <w:p>
      <w:pPr>
        <w:pStyle w:val="27"/>
        <w:keepNext/>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b/>
          <w:bCs/>
          <w:color w:val="auto"/>
          <w:sz w:val="28"/>
          <w:szCs w:val="28"/>
        </w:rPr>
      </w:pPr>
      <w:bookmarkStart w:id="35" w:name="_Toc2279"/>
      <w:r>
        <w:rPr>
          <w:rFonts w:hint="eastAsia" w:ascii="仿宋" w:hAnsi="仿宋" w:eastAsia="仿宋" w:cs="仿宋"/>
          <w:b/>
          <w:bCs/>
          <w:color w:val="auto"/>
          <w:sz w:val="28"/>
          <w:szCs w:val="28"/>
          <w:lang w:val="en-US" w:eastAsia="zh-CN"/>
        </w:rPr>
        <w:t>3</w:t>
      </w:r>
      <w:r>
        <w:rPr>
          <w:rFonts w:hint="eastAsia" w:ascii="仿宋" w:hAnsi="仿宋" w:eastAsia="仿宋" w:cs="仿宋"/>
          <w:b/>
          <w:bCs/>
          <w:color w:val="auto"/>
          <w:sz w:val="28"/>
          <w:szCs w:val="28"/>
        </w:rPr>
        <w:t>.4.2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码头岸壁和船壁清污策略</w:t>
      </w:r>
      <w:bookmarkEnd w:id="35"/>
    </w:p>
    <w:p>
      <w:pPr>
        <w:numPr>
          <w:ilvl w:val="0"/>
          <w:numId w:val="0"/>
        </w:numPr>
        <w:spacing w:line="360" w:lineRule="auto"/>
        <w:ind w:right="0" w:rightChars="0" w:firstLine="562" w:firstLineChars="200"/>
        <w:jc w:val="both"/>
        <w:rPr>
          <w:rFonts w:hint="eastAsia" w:ascii="仿宋" w:hAnsi="仿宋" w:eastAsia="仿宋" w:cs="仿宋"/>
          <w:b/>
          <w:bCs w:val="0"/>
          <w:color w:val="auto"/>
          <w:sz w:val="28"/>
          <w:szCs w:val="28"/>
        </w:rPr>
      </w:pPr>
      <w:r>
        <w:rPr>
          <w:rFonts w:hint="eastAsia" w:ascii="仿宋" w:hAnsi="仿宋" w:eastAsia="仿宋" w:cs="仿宋"/>
          <w:b/>
          <w:bCs w:val="0"/>
          <w:color w:val="auto"/>
          <w:sz w:val="28"/>
          <w:szCs w:val="28"/>
          <w:lang w:val="en-US" w:eastAsia="zh-CN"/>
        </w:rPr>
        <w:t xml:space="preserve">3.4.2.1 </w:t>
      </w:r>
      <w:r>
        <w:rPr>
          <w:rFonts w:hint="eastAsia" w:ascii="仿宋" w:hAnsi="仿宋" w:eastAsia="仿宋" w:cs="仿宋"/>
          <w:b/>
          <w:bCs w:val="0"/>
          <w:color w:val="auto"/>
          <w:sz w:val="28"/>
          <w:szCs w:val="28"/>
        </w:rPr>
        <w:t>物理方法</w:t>
      </w:r>
    </w:p>
    <w:p>
      <w:pPr>
        <w:numPr>
          <w:ilvl w:val="0"/>
          <w:numId w:val="0"/>
        </w:numPr>
        <w:spacing w:line="360" w:lineRule="auto"/>
        <w:ind w:leftChars="197" w:right="0" w:rightChars="0"/>
        <w:jc w:val="both"/>
        <w:rPr>
          <w:rFonts w:hint="eastAsia" w:ascii="仿宋" w:hAnsi="仿宋" w:eastAsia="仿宋" w:cs="仿宋"/>
          <w:color w:val="auto"/>
          <w:sz w:val="28"/>
          <w:szCs w:val="28"/>
        </w:rPr>
      </w:pPr>
      <w:r>
        <w:rPr>
          <w:rFonts w:hint="eastAsia" w:ascii="仿宋" w:hAnsi="仿宋" w:eastAsia="仿宋" w:cs="仿宋"/>
          <w:color w:val="auto"/>
          <w:sz w:val="28"/>
          <w:szCs w:val="28"/>
        </w:rPr>
        <w:t>（1）人工使用吸油材料</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方法简介：人工操作使用吸油材料吸收油</w:t>
      </w:r>
      <w:r>
        <w:rPr>
          <w:rFonts w:hint="eastAsia" w:ascii="仿宋" w:hAnsi="仿宋" w:eastAsia="仿宋" w:cs="仿宋"/>
          <w:color w:val="auto"/>
          <w:sz w:val="28"/>
          <w:szCs w:val="28"/>
          <w:lang w:eastAsia="zh-CN"/>
        </w:rPr>
        <w:t>。</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适用范围：低粘性油</w:t>
      </w:r>
      <w:r>
        <w:rPr>
          <w:rFonts w:hint="eastAsia" w:ascii="仿宋" w:hAnsi="仿宋" w:eastAsia="仿宋" w:cs="仿宋"/>
          <w:color w:val="auto"/>
          <w:sz w:val="28"/>
          <w:szCs w:val="28"/>
          <w:lang w:eastAsia="zh-CN"/>
        </w:rPr>
        <w:t>。</w:t>
      </w:r>
    </w:p>
    <w:p>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（2）低压水冲洗（环境温度）</w:t>
      </w:r>
    </w:p>
    <w:p>
      <w:pPr>
        <w:spacing w:line="360" w:lineRule="auto"/>
        <w:ind w:firstLine="560" w:firstLineChars="200"/>
        <w:rPr>
          <w:rFonts w:hint="eastAsia" w:ascii="仿宋" w:hAnsi="仿宋" w:eastAsia="仿宋" w:cs="仿宋"/>
          <w:sz w:val="28"/>
          <w:szCs w:val="28"/>
          <w:lang w:eastAsia="zh-CN"/>
        </w:rPr>
      </w:pPr>
      <w:r>
        <w:rPr>
          <w:rFonts w:hint="eastAsia" w:ascii="仿宋" w:hAnsi="仿宋" w:eastAsia="仿宋" w:cs="仿宋"/>
          <w:sz w:val="28"/>
          <w:szCs w:val="28"/>
        </w:rPr>
        <w:t>方法简介：用低压水冲洗面层上的油，冲洗水经排水沟流至回收区</w:t>
      </w:r>
      <w:r>
        <w:rPr>
          <w:rFonts w:hint="eastAsia" w:ascii="仿宋" w:hAnsi="仿宋" w:eastAsia="仿宋" w:cs="仿宋"/>
          <w:sz w:val="28"/>
          <w:szCs w:val="28"/>
          <w:lang w:eastAsia="zh-CN"/>
        </w:rPr>
        <w:t>。</w:t>
      </w:r>
    </w:p>
    <w:p>
      <w:pPr>
        <w:spacing w:line="360" w:lineRule="auto"/>
        <w:rPr>
          <w:rFonts w:hint="eastAsia" w:ascii="仿宋" w:hAnsi="仿宋" w:eastAsia="仿宋" w:cs="仿宋"/>
          <w:sz w:val="28"/>
          <w:szCs w:val="28"/>
          <w:lang w:eastAsia="zh-CN"/>
        </w:rPr>
      </w:pPr>
      <w:r>
        <w:rPr>
          <w:rFonts w:hint="eastAsia" w:ascii="仿宋" w:hAnsi="仿宋" w:eastAsia="仿宋" w:cs="仿宋"/>
          <w:sz w:val="28"/>
          <w:szCs w:val="28"/>
        </w:rPr>
        <w:t>适用范围：码头水平面层上的污油</w:t>
      </w:r>
      <w:r>
        <w:rPr>
          <w:rFonts w:hint="eastAsia" w:ascii="仿宋" w:hAnsi="仿宋" w:eastAsia="仿宋" w:cs="仿宋"/>
          <w:sz w:val="28"/>
          <w:szCs w:val="28"/>
          <w:lang w:eastAsia="zh-CN"/>
        </w:rPr>
        <w:t>。</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高压热水冲洗</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方法简介：用高压热水冲洗面层上的油，冲洗水经排水沟流至回收区</w:t>
      </w:r>
      <w:r>
        <w:rPr>
          <w:rFonts w:hint="eastAsia" w:ascii="仿宋" w:hAnsi="仿宋" w:eastAsia="仿宋" w:cs="仿宋"/>
          <w:color w:val="auto"/>
          <w:sz w:val="28"/>
          <w:szCs w:val="28"/>
          <w:lang w:eastAsia="zh-CN"/>
        </w:rPr>
        <w:t>。</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适用范围：码头水平面层上的污油</w:t>
      </w:r>
      <w:r>
        <w:rPr>
          <w:rFonts w:hint="eastAsia" w:ascii="仿宋" w:hAnsi="仿宋" w:eastAsia="仿宋" w:cs="仿宋"/>
          <w:color w:val="auto"/>
          <w:sz w:val="28"/>
          <w:szCs w:val="28"/>
          <w:lang w:eastAsia="zh-CN"/>
        </w:rPr>
        <w:t>。</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（4）人工刮除</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方法简介：用手工工具将油从岸壁上刮除</w:t>
      </w:r>
      <w:r>
        <w:rPr>
          <w:rFonts w:hint="eastAsia" w:ascii="仿宋" w:hAnsi="仿宋" w:eastAsia="仿宋" w:cs="仿宋"/>
          <w:color w:val="auto"/>
          <w:sz w:val="28"/>
          <w:szCs w:val="28"/>
          <w:lang w:eastAsia="zh-CN"/>
        </w:rPr>
        <w:t>。</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适用范围：用于其他清除技术不能清除的重质油</w:t>
      </w:r>
      <w:r>
        <w:rPr>
          <w:rFonts w:hint="eastAsia" w:ascii="仿宋" w:hAnsi="仿宋" w:eastAsia="仿宋" w:cs="仿宋"/>
          <w:color w:val="auto"/>
          <w:sz w:val="28"/>
          <w:szCs w:val="28"/>
          <w:lang w:eastAsia="zh-CN"/>
        </w:rPr>
        <w:t>。</w:t>
      </w:r>
    </w:p>
    <w:p>
      <w:pPr>
        <w:spacing w:line="360" w:lineRule="auto"/>
        <w:ind w:firstLine="554" w:firstLineChars="197"/>
        <w:jc w:val="both"/>
        <w:rPr>
          <w:rFonts w:hint="eastAsia" w:ascii="仿宋" w:hAnsi="仿宋" w:eastAsia="仿宋" w:cs="仿宋"/>
          <w:b/>
          <w:color w:val="auto"/>
          <w:sz w:val="28"/>
          <w:szCs w:val="28"/>
        </w:rPr>
      </w:pPr>
      <w:r>
        <w:rPr>
          <w:rFonts w:hint="eastAsia" w:ascii="仿宋" w:hAnsi="仿宋" w:eastAsia="仿宋" w:cs="仿宋"/>
          <w:b/>
          <w:color w:val="auto"/>
          <w:sz w:val="28"/>
          <w:szCs w:val="28"/>
          <w:lang w:val="en-US" w:eastAsia="zh-CN"/>
        </w:rPr>
        <w:t>3.4.2.</w:t>
      </w:r>
      <w:r>
        <w:rPr>
          <w:rFonts w:hint="eastAsia" w:ascii="仿宋" w:hAnsi="仿宋" w:eastAsia="仿宋" w:cs="仿宋"/>
          <w:b/>
          <w:color w:val="auto"/>
          <w:sz w:val="28"/>
          <w:szCs w:val="28"/>
        </w:rPr>
        <w:t>2</w:t>
      </w:r>
      <w:r>
        <w:rPr>
          <w:rFonts w:hint="eastAsia" w:ascii="仿宋" w:hAnsi="仿宋" w:eastAsia="仿宋" w:cs="仿宋"/>
          <w:b/>
          <w:color w:val="auto"/>
          <w:sz w:val="28"/>
          <w:szCs w:val="28"/>
          <w:lang w:val="en-US" w:eastAsia="zh-CN"/>
        </w:rPr>
        <w:t xml:space="preserve"> </w:t>
      </w:r>
      <w:r>
        <w:rPr>
          <w:rFonts w:hint="eastAsia" w:ascii="仿宋" w:hAnsi="仿宋" w:eastAsia="仿宋" w:cs="仿宋"/>
          <w:b/>
          <w:color w:val="auto"/>
          <w:sz w:val="28"/>
          <w:szCs w:val="28"/>
        </w:rPr>
        <w:t>化学方法</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在用水冲洗清除人工构筑物上的油污时，用化学清除剂可以增加冲洗效果，但所用的化学清除剂必须经过海事管理机构的批准。</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常规型和浓缩型溢油分散剂可用于岸线清除作业，常规型溢油分散剂的烃溶剂有较大的渗透力，适用于粘稠或风化油的处理。</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对于人工构筑物上的粘稠油可先用常规型分散剂将油浸渍，一般每平方米适用20至40升，浸渍15～30分钟，然后用水冲洗。对于未风化油，可用含1～5%水溶性分散剂的海水冲洗。如需要回收冲洗水中的油时，可用围油栏围拦含油冲洗水，并用收油机或吸油材料回收油。也可用吸附材料制成的栅栏围拦含油冲洗水并吸附油。</w:t>
      </w:r>
    </w:p>
    <w:p>
      <w:pPr>
        <w:spacing w:line="360" w:lineRule="auto"/>
        <w:ind w:firstLine="562" w:firstLineChars="200"/>
        <w:jc w:val="both"/>
        <w:rPr>
          <w:rFonts w:hint="eastAsia" w:ascii="仿宋" w:hAnsi="仿宋" w:eastAsia="仿宋" w:cs="仿宋"/>
          <w:b/>
          <w:bCs/>
          <w:color w:val="auto"/>
          <w:sz w:val="28"/>
          <w:szCs w:val="28"/>
        </w:rPr>
      </w:pPr>
      <w:bookmarkStart w:id="36" w:name="_Toc23336"/>
      <w:r>
        <w:rPr>
          <w:rFonts w:hint="eastAsia" w:ascii="仿宋" w:hAnsi="仿宋" w:eastAsia="仿宋" w:cs="仿宋"/>
          <w:b/>
          <w:bCs/>
          <w:color w:val="auto"/>
          <w:sz w:val="28"/>
          <w:szCs w:val="28"/>
          <w:lang w:val="en-US" w:eastAsia="zh-CN"/>
        </w:rPr>
        <w:t>3</w:t>
      </w:r>
      <w:r>
        <w:rPr>
          <w:rFonts w:hint="eastAsia" w:ascii="仿宋" w:hAnsi="仿宋" w:eastAsia="仿宋" w:cs="仿宋"/>
          <w:b/>
          <w:bCs/>
          <w:color w:val="auto"/>
          <w:sz w:val="28"/>
          <w:szCs w:val="28"/>
        </w:rPr>
        <w:t>.4.3</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散装液体化学品清污策略</w:t>
      </w:r>
      <w:bookmarkEnd w:id="36"/>
    </w:p>
    <w:p>
      <w:pPr>
        <w:pStyle w:val="27"/>
        <w:keepNext/>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3.4.3.1 </w:t>
      </w:r>
      <w:r>
        <w:rPr>
          <w:rFonts w:hint="eastAsia" w:ascii="仿宋" w:hAnsi="仿宋" w:eastAsia="仿宋" w:cs="仿宋"/>
          <w:color w:val="auto"/>
          <w:sz w:val="28"/>
          <w:szCs w:val="28"/>
        </w:rPr>
        <w:t>化学品类型及清污策略</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散装液体化学品按照比重、溶解性可分为如下四类：</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（1）沉降型化学品——比重大于水，且不溶于水的物质。</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（2）溶于水型化学品——溶解于水中，而且在它们溶解之前不易挥发、不易蒸发。</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（3）漂浮型化学品——比重小于水，不溶于水且不易挥发的液体物质。</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（4）挥发型化学品——比重小于水，且易挥发的液体。</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针对每种化学品泄漏类型的应急行动策略如下：</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（1）沉降于水中的化学品</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对于凝点低于环境温度的也考虑人工捞取的措施，但首先要保证清污人员安全。利用机械疏浚设备或泵/真空等各种适于在浅水区域的接收设备，清污措施要根据现场的实际情况而定，通过现场指挥协同各方面开展应急行动。</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（2）溶于水型化学品</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在理论上可以采取应急行动，但是在实践中却很少这样做，因为应急行动有可能增加对周围人群健康及环境风险。通常更可取更现实的应急手段是对水体的稀释搅拌，这样会减少对人类造成的风险。对污染水域反复进行机械搅拌分散措施有助于促进这一过程。</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（3）漂浮于水上的化学品</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类油类化学品泄漏应急行动参照溢油事故应急措施开展应急行动。</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对于溢油及类油物质溢出的应急措施适用于这类污染</w:t>
      </w:r>
      <w:r>
        <w:rPr>
          <w:rFonts w:hint="eastAsia" w:ascii="仿宋" w:hAnsi="仿宋" w:eastAsia="仿宋" w:cs="仿宋"/>
          <w:color w:val="auto"/>
          <w:sz w:val="28"/>
          <w:szCs w:val="28"/>
          <w:lang w:val="en-US" w:eastAsia="zh-CN"/>
        </w:rPr>
        <w:t>物</w:t>
      </w:r>
      <w:r>
        <w:rPr>
          <w:rFonts w:hint="eastAsia" w:ascii="仿宋" w:hAnsi="仿宋" w:eastAsia="仿宋" w:cs="仿宋"/>
          <w:color w:val="auto"/>
          <w:sz w:val="28"/>
          <w:szCs w:val="28"/>
        </w:rPr>
        <w:t>，利用围油栏限制漂浮物质的扩散以保护易受损区域，根据不同的环境条件和预期目的可以选择不同类型的设备，此外还要选择相适宜的围油栏材料（如，PVC围油栏不适用于液体化学品围控）。同时还要考虑应用收油机器（如隔膜泵）、吸油材料将水面的物质回收。如对二甲苯使用活性炭或其他惰性材料吸附。</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类油液体化学品，当厚度在0.1mm左右时，可用消油剂、吸油材料、燃烧等方法。</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如果污染物扩散到岸线，本公司将根据不同情况采用热水冲洗、浇洒石灰粉末、稻草清刷等，但必须注意清除后的材料回收，避免二次污染。</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（4）挥发性化学物质</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对挥发性化学物质泄漏事故的应急行动是非常有限的，在理论上灭火泡沫（需采用抗溶性，由船方或码头方的消防设施提供并由其采取相应措施）可以用来覆盖化学物质以减少它的挥发速率。通常低闪点的物质在数分钟内基本就挥发掉，在实践中尽快向下风向区域发出警报是最佳选择。</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挥发性化学物质的泄漏回收设备必须考虑到防火防爆的要求，部分化学品蒸气较空气重，容易聚集在水面上并扩散到较远的地方，应急处置必须考虑遇明火时回燃的危险因素。</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注意事项：具体的回收处置方法必须向签订协议的船方或码头方索取泄漏化学品的MSDS，防止次生事故的发生。</w:t>
      </w:r>
    </w:p>
    <w:p>
      <w:pPr>
        <w:spacing w:line="360" w:lineRule="auto"/>
        <w:ind w:firstLine="554" w:firstLineChars="197"/>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3.4.3.</w:t>
      </w:r>
      <w:r>
        <w:rPr>
          <w:rFonts w:hint="eastAsia" w:ascii="仿宋" w:hAnsi="仿宋" w:eastAsia="仿宋" w:cs="仿宋"/>
          <w:b/>
          <w:bCs/>
          <w:color w:val="auto"/>
          <w:sz w:val="28"/>
          <w:szCs w:val="28"/>
        </w:rPr>
        <w:t>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化学品泄漏事故应急特别注意事项</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在化学品污染事故的应急反应行动中，现场作业和救护人员应优先考虑清污人员的安全，采取适当的措施防止事故升级，因此，在采取应急措施时，要特别注意：</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（1）听从政府管理部门的指挥，在保障人员安全的前提下进行污染清除作业。</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（2）防止火灾和爆炸事故的发生。特别是有些化学品发生泄漏后，在空气中的挥发性很大，极易引发火灾。</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3）泄漏发生初期，是化学品蒸发最大的阶段，所有船舶、清污和救护的人员尽量处于污染物的上风，关闭船上不必要的进风口，消除所有可能的火源，采取措施防止易燃气体进入居住舱室和机舱处所；禁止任何人和船舶进入污染物区域内，清污工作应在污染物的边缘地区，在污染物经过一定时间的自然挥发后，方可进入进行清污作业；在清污作业时，应确保有足够的水上和陆上消防力量监护，一旦发生火灾，即可实施灭火救援。</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（4）所有参加清污的船艇及动力设备工具必须具备火星熄灭器，防止清污作业产生火花。</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（5）现场指挥人员应密切注意污染物的漂移和清污作业的动态，不要在危险条件下进行清污作业。</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6）化学品泄漏事故发生后，考虑其挥发毒性和可燃性以及天气海况，以泄漏地点为中心，分别划定内层处置区、警戒区和外围疏散区。内层应急处置区内主要留有一线处置人员、环境监测人员，在防护上应该满足最高级防护要求，如自给正压式呼吸器、穿防毒物渗透工作服等；警戒区内设置应急物资集合点、消防器材集合点、残液回收设备停放点，所以应留有应急器材输送人员、消防待命人员、环境监测人员、二线处置人员应配备佩戴过滤式防毒面具、防静电工作服等；外围疏散区内应留有前线指挥人员、警戒人员、环境监测人员。应准备相应个人防护设备。上述各种防护装备根据具体化学品特性情况进行配备。</w:t>
      </w:r>
    </w:p>
    <w:p>
      <w:pPr>
        <w:spacing w:line="360" w:lineRule="auto"/>
        <w:ind w:firstLine="554" w:firstLineChars="197"/>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 </w:t>
      </w:r>
      <w:r>
        <w:rPr>
          <w:rFonts w:hint="eastAsia" w:ascii="仿宋" w:hAnsi="仿宋" w:eastAsia="仿宋" w:cs="仿宋"/>
          <w:b/>
          <w:bCs/>
          <w:color w:val="auto"/>
          <w:sz w:val="28"/>
          <w:szCs w:val="28"/>
        </w:rPr>
        <w:t>各类危险货物应急处置</w:t>
      </w:r>
    </w:p>
    <w:p>
      <w:pPr>
        <w:widowControl w:val="0"/>
        <w:numPr>
          <w:ilvl w:val="0"/>
          <w:numId w:val="0"/>
        </w:numPr>
        <w:spacing w:line="360" w:lineRule="auto"/>
        <w:ind w:leftChars="0" w:right="0" w:rightChars="0" w:firstLine="562" w:firstLineChars="200"/>
        <w:jc w:val="both"/>
        <w:rPr>
          <w:rFonts w:hint="eastAsia" w:ascii="仿宋" w:hAnsi="仿宋" w:eastAsia="仿宋" w:cs="仿宋"/>
          <w:color w:val="auto"/>
          <w:sz w:val="28"/>
          <w:szCs w:val="28"/>
          <w:lang w:eastAsia="zh-CN"/>
        </w:rPr>
      </w:pPr>
      <w:r>
        <w:rPr>
          <w:rFonts w:hint="eastAsia" w:ascii="仿宋" w:hAnsi="仿宋" w:eastAsia="仿宋" w:cs="仿宋"/>
          <w:b/>
          <w:bCs/>
          <w:color w:val="auto"/>
          <w:sz w:val="28"/>
          <w:szCs w:val="28"/>
          <w:lang w:val="en-US" w:eastAsia="zh-CN"/>
        </w:rPr>
        <w:t xml:space="preserve">3.4.4.1 </w:t>
      </w:r>
      <w:r>
        <w:rPr>
          <w:rFonts w:hint="eastAsia" w:ascii="仿宋" w:hAnsi="仿宋" w:eastAsia="仿宋" w:cs="仿宋"/>
          <w:b/>
          <w:bCs/>
          <w:color w:val="auto"/>
          <w:sz w:val="28"/>
          <w:szCs w:val="28"/>
        </w:rPr>
        <w:t>爆炸品应急处置</w:t>
      </w:r>
      <w:r>
        <w:rPr>
          <w:rFonts w:hint="eastAsia" w:ascii="仿宋" w:hAnsi="仿宋" w:eastAsia="仿宋" w:cs="仿宋"/>
          <w:color w:val="auto"/>
          <w:sz w:val="28"/>
          <w:szCs w:val="28"/>
        </w:rPr>
        <w:t>（包括第1.1类、1.2类、1.3类、1.4类、1.5类爆炸品）</w:t>
      </w:r>
      <w:r>
        <w:rPr>
          <w:rFonts w:hint="eastAsia" w:ascii="仿宋" w:hAnsi="仿宋" w:eastAsia="仿宋" w:cs="仿宋"/>
          <w:color w:val="auto"/>
          <w:sz w:val="28"/>
          <w:szCs w:val="28"/>
          <w:lang w:eastAsia="zh-CN"/>
        </w:rPr>
        <w:t>。</w:t>
      </w:r>
    </w:p>
    <w:p>
      <w:pPr>
        <w:widowControl w:val="0"/>
        <w:numPr>
          <w:ilvl w:val="0"/>
          <w:numId w:val="0"/>
        </w:numPr>
        <w:spacing w:line="360" w:lineRule="auto"/>
        <w:ind w:leftChars="0" w:right="0" w:rightChars="0"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需配备的专用应急器材包括：防护服（手套、靴子、防火工作服、带护镜的头盔）、自给式空气呼吸器、防火花软底鞋、软刷和塑料簸箕。</w:t>
      </w:r>
    </w:p>
    <w:p>
      <w:pPr>
        <w:widowControl w:val="0"/>
        <w:numPr>
          <w:ilvl w:val="0"/>
          <w:numId w:val="0"/>
        </w:numPr>
        <w:spacing w:line="360" w:lineRule="auto"/>
        <w:ind w:leftChars="0" w:right="0" w:rightChars="0"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扫除或收拾起这些危险物品，如物品仍然完整但出现损害，应将其隔离，并寻求指示。应保持泄漏爆炸物的湿润，如可行，应使用软刷和塑料簸箕收集泄漏爆炸物，以便将泄漏物和污染了的设备安全地转移处置。</w:t>
      </w:r>
    </w:p>
    <w:p>
      <w:pPr>
        <w:widowControl w:val="0"/>
        <w:numPr>
          <w:ilvl w:val="0"/>
          <w:numId w:val="0"/>
        </w:numPr>
        <w:spacing w:line="360" w:lineRule="auto"/>
        <w:ind w:leftChars="0" w:right="0" w:rightChars="0"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如爆炸物包件没有直接卷入水中，要尽量防止火触及爆炸物。通常的做法是保持包件湿润，在尽可能远离的地方用水射流将火隔离。如实际可行，应尽快转移可能卷入火中的爆炸物包件。如火触及爆炸物，应立即放弃处置，并将人员迅速撤离该区域。</w:t>
      </w:r>
    </w:p>
    <w:p>
      <w:pPr>
        <w:widowControl w:val="0"/>
        <w:numPr>
          <w:ilvl w:val="0"/>
          <w:numId w:val="0"/>
        </w:numPr>
        <w:spacing w:line="360" w:lineRule="auto"/>
        <w:ind w:leftChars="0" w:right="0" w:rightChars="0" w:firstLine="562" w:firstLineChars="200"/>
        <w:jc w:val="both"/>
        <w:rPr>
          <w:rFonts w:hint="eastAsia" w:ascii="仿宋" w:hAnsi="仿宋" w:eastAsia="仿宋" w:cs="仿宋"/>
          <w:color w:val="auto"/>
          <w:sz w:val="28"/>
          <w:szCs w:val="28"/>
        </w:rPr>
      </w:pPr>
      <w:r>
        <w:rPr>
          <w:rFonts w:hint="eastAsia" w:ascii="仿宋" w:hAnsi="仿宋" w:eastAsia="仿宋" w:cs="仿宋"/>
          <w:b/>
          <w:bCs/>
          <w:i w:val="0"/>
          <w:iCs w:val="0"/>
          <w:color w:val="auto"/>
          <w:sz w:val="28"/>
          <w:szCs w:val="28"/>
          <w:lang w:val="en-US" w:eastAsia="zh-CN"/>
        </w:rPr>
        <w:t xml:space="preserve">3.4.4.2 </w:t>
      </w:r>
      <w:r>
        <w:rPr>
          <w:rFonts w:hint="eastAsia" w:ascii="仿宋" w:hAnsi="仿宋" w:eastAsia="仿宋" w:cs="仿宋"/>
          <w:b/>
          <w:bCs/>
          <w:i w:val="0"/>
          <w:iCs w:val="0"/>
          <w:color w:val="auto"/>
          <w:sz w:val="28"/>
          <w:szCs w:val="28"/>
        </w:rPr>
        <w:t>压缩气体应急处置</w:t>
      </w:r>
      <w:r>
        <w:rPr>
          <w:rFonts w:hint="eastAsia" w:ascii="仿宋" w:hAnsi="仿宋" w:eastAsia="仿宋" w:cs="仿宋"/>
          <w:color w:val="auto"/>
          <w:sz w:val="28"/>
          <w:szCs w:val="28"/>
        </w:rPr>
        <w:t>（包括易燃或非易燃、有毒或无毒、有腐蚀性、氧化剂）</w:t>
      </w:r>
    </w:p>
    <w:p>
      <w:pPr>
        <w:widowControl w:val="0"/>
        <w:numPr>
          <w:ilvl w:val="0"/>
          <w:numId w:val="0"/>
        </w:numPr>
        <w:spacing w:line="360" w:lineRule="auto"/>
        <w:ind w:leftChars="0" w:right="0" w:rightChars="0"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需配备的专用应急器材：防护服（手套、靴子、连体工作服、安全帽）、自给式空气呼吸器、喷雾水枪。</w:t>
      </w:r>
    </w:p>
    <w:p>
      <w:pPr>
        <w:widowControl w:val="0"/>
        <w:numPr>
          <w:ilvl w:val="0"/>
          <w:numId w:val="0"/>
        </w:numPr>
        <w:spacing w:line="360" w:lineRule="auto"/>
        <w:ind w:leftChars="0" w:right="0" w:rightChars="0"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泄漏应急行动：如实际可行，应尽快阻止泄漏。</w:t>
      </w:r>
    </w:p>
    <w:p>
      <w:pPr>
        <w:widowControl w:val="0"/>
        <w:numPr>
          <w:ilvl w:val="0"/>
          <w:numId w:val="0"/>
        </w:numPr>
        <w:spacing w:line="360" w:lineRule="auto"/>
        <w:ind w:leftChars="0" w:right="0" w:rightChars="0"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火灾（爆炸）应急行动：在尽可能远的地方使用水雾、泡沫或干粉灭火。用大量的水使相邻的容器保持冷却。迅速将未受损坏、经冷却的危险货物包件转移到安全地点。</w:t>
      </w:r>
    </w:p>
    <w:p>
      <w:pPr>
        <w:spacing w:line="360" w:lineRule="auto"/>
        <w:ind w:firstLine="562" w:firstLineChars="200"/>
        <w:rPr>
          <w:rFonts w:hint="eastAsia" w:ascii="仿宋" w:hAnsi="仿宋" w:eastAsia="仿宋" w:cs="仿宋"/>
          <w:color w:val="auto"/>
          <w:sz w:val="28"/>
          <w:szCs w:val="28"/>
        </w:rPr>
      </w:pPr>
      <w:r>
        <w:rPr>
          <w:rFonts w:hint="eastAsia" w:ascii="仿宋" w:hAnsi="仿宋" w:eastAsia="仿宋" w:cs="仿宋"/>
          <w:b/>
          <w:bCs/>
          <w:color w:val="auto"/>
          <w:sz w:val="28"/>
          <w:szCs w:val="28"/>
          <w:lang w:val="en-US" w:eastAsia="zh-CN"/>
        </w:rPr>
        <w:t xml:space="preserve">3.4.4.3 </w:t>
      </w:r>
      <w:r>
        <w:rPr>
          <w:rFonts w:hint="eastAsia" w:ascii="仿宋" w:hAnsi="仿宋" w:eastAsia="仿宋" w:cs="仿宋"/>
          <w:b/>
          <w:bCs/>
          <w:color w:val="auto"/>
          <w:sz w:val="28"/>
          <w:szCs w:val="28"/>
        </w:rPr>
        <w:t>冷冻液化气体应急处置</w:t>
      </w:r>
      <w:r>
        <w:rPr>
          <w:rFonts w:hint="eastAsia" w:ascii="仿宋" w:hAnsi="仿宋" w:eastAsia="仿宋" w:cs="仿宋"/>
          <w:color w:val="auto"/>
          <w:sz w:val="28"/>
          <w:szCs w:val="28"/>
        </w:rPr>
        <w:t>（包括易燃的、有毒的、有腐蚀性的）</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需配备的专用应急器材：适合的防护服（手套、靴子、连体工作服、安全帽）、自给式空气呼吸器、喷雾水枪。</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如实际可行，应采取措施阻止泄漏，在尽可能远的地方用水射流以加速蒸发，不要将其喷于泄漏物上。要保证水流方向不将液体推向应急救援人群，或靠近火源或与其交界的区域。不要将水射流直接喷射在泄漏排放的裂口处。</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火灾（爆炸）应急行动：应使用大量的水从尽可能远的地方冷却环境和相邻的容器，在可能的情况下迅速将未受损坏、经冷却的包件转移到安全地点。</w:t>
      </w:r>
    </w:p>
    <w:p>
      <w:pPr>
        <w:spacing w:line="360" w:lineRule="auto"/>
        <w:ind w:firstLine="562" w:firstLineChars="200"/>
        <w:rPr>
          <w:rFonts w:hint="eastAsia" w:ascii="仿宋" w:hAnsi="仿宋" w:eastAsia="仿宋" w:cs="仿宋"/>
          <w:color w:val="auto"/>
          <w:sz w:val="28"/>
          <w:szCs w:val="28"/>
        </w:rPr>
      </w:pPr>
      <w:r>
        <w:rPr>
          <w:rFonts w:hint="eastAsia" w:ascii="仿宋" w:hAnsi="仿宋" w:eastAsia="仿宋" w:cs="仿宋"/>
          <w:b/>
          <w:bCs/>
          <w:color w:val="auto"/>
          <w:sz w:val="28"/>
          <w:szCs w:val="28"/>
          <w:lang w:val="en-US" w:eastAsia="zh-CN"/>
        </w:rPr>
        <w:t xml:space="preserve">3.4.4.4 </w:t>
      </w:r>
      <w:r>
        <w:rPr>
          <w:rFonts w:hint="eastAsia" w:ascii="仿宋" w:hAnsi="仿宋" w:eastAsia="仿宋" w:cs="仿宋"/>
          <w:b/>
          <w:bCs/>
          <w:color w:val="auto"/>
          <w:sz w:val="28"/>
          <w:szCs w:val="28"/>
        </w:rPr>
        <w:t>易燃液体应急处置</w:t>
      </w:r>
      <w:r>
        <w:rPr>
          <w:rFonts w:hint="eastAsia" w:ascii="仿宋" w:hAnsi="仿宋" w:eastAsia="仿宋" w:cs="仿宋"/>
          <w:color w:val="auto"/>
          <w:sz w:val="28"/>
          <w:szCs w:val="28"/>
        </w:rPr>
        <w:t>（包括有毒的、腐蚀性的、遇水反应的）</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 xml:space="preserve"> 需配备的专用应急器材：防护服（手套、靴子、连体工作服、安全帽）、自给式空气呼吸器、喷雾水枪。</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泄漏应急行动：如在室内泄漏，应进行充分通风。应及时用沙土覆盖或用松软的材料吸附易燃液体，集中收集后移到空旷安全处销毁。急救时应防止液体流入水道、河流造成污染，或引起火灾、爆炸。</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火灾（爆炸）应急行动：应使用干粉灭火，或其他非水灭火装置灭火。在条件允许的情况下，应迅速转移可能卷入火中的其他易燃液体容器。</w:t>
      </w:r>
    </w:p>
    <w:p>
      <w:pPr>
        <w:spacing w:line="360" w:lineRule="auto"/>
        <w:ind w:firstLine="562" w:firstLineChars="20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3.4.4.5 </w:t>
      </w:r>
      <w:r>
        <w:rPr>
          <w:rFonts w:hint="eastAsia" w:ascii="仿宋" w:hAnsi="仿宋" w:eastAsia="仿宋" w:cs="仿宋"/>
          <w:b/>
          <w:bCs/>
          <w:color w:val="auto"/>
          <w:sz w:val="28"/>
          <w:szCs w:val="28"/>
        </w:rPr>
        <w:t>易燃固体应急处置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需配备的专用应急器材：防护服（手套、靴子、连体工作服、安全帽）、自给式空气呼吸器、喷雾水枪、惰性材料。</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泄漏应急装置：如实际可行，应收集起泄漏物，并重新包装。</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火灾（爆炸）应急行动：用水冷却物品和包件，并在可能时将其转移，应使用雾状水，不得使用水射流。</w:t>
      </w:r>
    </w:p>
    <w:p>
      <w:pPr>
        <w:spacing w:line="360" w:lineRule="auto"/>
        <w:ind w:firstLine="562" w:firstLineChars="20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3.4.4.6 </w:t>
      </w:r>
      <w:r>
        <w:rPr>
          <w:rFonts w:hint="eastAsia" w:ascii="仿宋" w:hAnsi="仿宋" w:eastAsia="仿宋" w:cs="仿宋"/>
          <w:b/>
          <w:bCs/>
          <w:color w:val="auto"/>
          <w:sz w:val="28"/>
          <w:szCs w:val="28"/>
        </w:rPr>
        <w:t>易自燃物质应急处置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需配备的专用应急器材：防护服（手套、靴子、连体工作服、安全帽）、自给式空气呼吸器、喷雾水枪、惰性材料。</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泄漏应急行动：易自燃物质泄漏会导致火灾，应使用惰性材料收集，使其窒息，应迅速将未损坏的容器转移到安全地带。</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火灾（爆炸）应急行动：在尽可能远的地方用消防管喷射水雾。</w:t>
      </w:r>
    </w:p>
    <w:p>
      <w:pPr>
        <w:spacing w:line="360" w:lineRule="auto"/>
        <w:ind w:firstLine="562" w:firstLineChars="20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3.4.4.7 </w:t>
      </w:r>
      <w:r>
        <w:rPr>
          <w:rFonts w:hint="eastAsia" w:ascii="仿宋" w:hAnsi="仿宋" w:eastAsia="仿宋" w:cs="仿宋"/>
          <w:b/>
          <w:bCs/>
          <w:color w:val="auto"/>
          <w:sz w:val="28"/>
          <w:szCs w:val="28"/>
        </w:rPr>
        <w:t>氧化物应急处置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需配备的专用应急器材：防护服（手套、靴子、连体工作服、安全帽）、自给式空气呼吸器、喷雾水枪、惰性材料。</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泄漏应急行动：根据货物特性，使用惰性材料收集，不得使用木屑或娶她易燃材料作为吸收物，收集后放在适当地点观察，确认不会发生意外，再入库存放。</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火灾（爆炸）应急行动：在尽可能远的地方使用大量的水喷射，迅速转移可能卷入火中的容器，或用大量水对其他容器进行冷却。</w:t>
      </w:r>
    </w:p>
    <w:p>
      <w:pPr>
        <w:spacing w:line="360" w:lineRule="auto"/>
        <w:ind w:firstLine="843" w:firstLineChars="30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3.4.4.8 </w:t>
      </w:r>
      <w:r>
        <w:rPr>
          <w:rFonts w:hint="eastAsia" w:ascii="仿宋" w:hAnsi="仿宋" w:eastAsia="仿宋" w:cs="仿宋"/>
          <w:b/>
          <w:bCs/>
          <w:color w:val="auto"/>
          <w:sz w:val="28"/>
          <w:szCs w:val="28"/>
        </w:rPr>
        <w:t>过氧化物应急处置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需配备的专用应急器材：防护手套、靴子、护目镜、自给式空气呼吸器、喷雾水枪。</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泄漏应急行动：如可行，应迅速阻止泄漏。</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火灾（爆炸）应急行动：在尽可能远的地方用雾状水灭火，避免使用水射流。当火灾扑灭后，应当仍然保持对火场的监视，并尽可能与容器制造商联系，取得支持。</w:t>
      </w:r>
    </w:p>
    <w:p>
      <w:pPr>
        <w:spacing w:line="360" w:lineRule="auto"/>
        <w:ind w:firstLine="562" w:firstLineChars="20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3.4.4.9 </w:t>
      </w:r>
      <w:r>
        <w:rPr>
          <w:rFonts w:hint="eastAsia" w:ascii="仿宋" w:hAnsi="仿宋" w:eastAsia="仿宋" w:cs="仿宋"/>
          <w:b/>
          <w:bCs/>
          <w:color w:val="auto"/>
          <w:sz w:val="28"/>
          <w:szCs w:val="28"/>
        </w:rPr>
        <w:t>有毒液体应急处置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需配备的专用应急器材：防护服（手套、靴子、连体工作服、安全帽）、自给式空气呼吸器、喷雾水枪、惰性材料。</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泄漏应急行动：如实际可行，应使用吸收材料收集泄漏物。如泄漏发生在封闭区域，应立即进行通风。</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火灾（爆炸）应急行动：用大量水或其他方式灭火，对可能卷入火中的容器，应使用大量水进行冷却。</w:t>
      </w:r>
    </w:p>
    <w:p>
      <w:pPr>
        <w:spacing w:line="360" w:lineRule="auto"/>
        <w:ind w:firstLine="562" w:firstLineChars="20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3.4.4.10 </w:t>
      </w:r>
      <w:r>
        <w:rPr>
          <w:rFonts w:hint="eastAsia" w:ascii="仿宋" w:hAnsi="仿宋" w:eastAsia="仿宋" w:cs="仿宋"/>
          <w:b/>
          <w:bCs/>
          <w:color w:val="auto"/>
          <w:sz w:val="28"/>
          <w:szCs w:val="28"/>
        </w:rPr>
        <w:t>有毒固体应急处置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需配备的专用应急器材：全套防护服（手套、靴子、连体工作服、安全帽、护目镜）、自给式空气呼吸器、喷雾水枪。</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泄漏应急行动：如实际可行，应收集泄漏物。以便安全处置。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火灾（爆炸）应急行动：用大量水或其他方式灭火，对可能卷入火中的容器，应使用大量水冷却。</w:t>
      </w:r>
    </w:p>
    <w:p>
      <w:pPr>
        <w:spacing w:line="360" w:lineRule="auto"/>
        <w:ind w:firstLine="562" w:firstLineChars="20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3.4.4.11 </w:t>
      </w:r>
      <w:r>
        <w:rPr>
          <w:rFonts w:hint="eastAsia" w:ascii="仿宋" w:hAnsi="仿宋" w:eastAsia="仿宋" w:cs="仿宋"/>
          <w:b/>
          <w:bCs/>
          <w:color w:val="auto"/>
          <w:sz w:val="28"/>
          <w:szCs w:val="28"/>
        </w:rPr>
        <w:t>溶融的有毒物质应急处置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需配备的专用应急器材：防护服（手套、靴子、连体工作服、安全帽）、自给式空气呼吸器、喷雾水枪、惰性材料。</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泄漏应急行动：隔开热源，让其凝固，可能的话堵住泄漏。如实际可行，收集泄漏物，以便安全处置。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火灾（爆炸）应急行动：使用大量水或其他灭火剂灭火。</w:t>
      </w:r>
    </w:p>
    <w:p>
      <w:pPr>
        <w:spacing w:line="360" w:lineRule="auto"/>
        <w:ind w:firstLine="562" w:firstLineChars="20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3.4.4.12 </w:t>
      </w:r>
      <w:r>
        <w:rPr>
          <w:rFonts w:hint="eastAsia" w:ascii="仿宋" w:hAnsi="仿宋" w:eastAsia="仿宋" w:cs="仿宋"/>
          <w:b/>
          <w:bCs/>
          <w:color w:val="auto"/>
          <w:sz w:val="28"/>
          <w:szCs w:val="28"/>
        </w:rPr>
        <w:t>腐蚀性物质应急处置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需配备的专用应急器材：防护服（手套、靴子、连体工作服、安全帽）、自给式空气呼吸器、喷雾水枪。</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泄漏应急行动：根据货物的酸碱性，用稀酸或稀碱中和。</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火灾（爆炸）应急行动：使用水雾或水射流，保持临近容器的冷却，如有可能，迅速转移卷入火中的容器。</w:t>
      </w:r>
      <w:bookmarkStart w:id="37" w:name="_Toc28115"/>
      <w:bookmarkStart w:id="38" w:name="_Toc10452"/>
    </w:p>
    <w:p>
      <w:pPr>
        <w:spacing w:line="360" w:lineRule="auto"/>
        <w:ind w:firstLine="562" w:firstLineChars="20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bookmarkStart w:id="39" w:name="_Toc26753"/>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4、</w:t>
      </w:r>
      <w:r>
        <w:rPr>
          <w:rFonts w:hint="eastAsia" w:ascii="仿宋" w:hAnsi="仿宋" w:eastAsia="仿宋" w:cs="仿宋"/>
          <w:b/>
          <w:bCs/>
          <w:color w:val="auto"/>
          <w:sz w:val="28"/>
          <w:szCs w:val="28"/>
        </w:rPr>
        <w:t>应急堵漏、卸载等污染控制方案</w:t>
      </w:r>
      <w:bookmarkEnd w:id="37"/>
      <w:bookmarkEnd w:id="38"/>
      <w:bookmarkEnd w:id="39"/>
      <w:bookmarkStart w:id="40" w:name="_Toc23149"/>
      <w:bookmarkStart w:id="41" w:name="_Toc26934"/>
    </w:p>
    <w:p>
      <w:pPr>
        <w:spacing w:line="360" w:lineRule="auto"/>
        <w:ind w:firstLine="562" w:firstLineChars="200"/>
        <w:outlineLvl w:val="1"/>
        <w:rPr>
          <w:rFonts w:hint="eastAsia" w:ascii="仿宋" w:hAnsi="仿宋" w:eastAsia="仿宋" w:cs="仿宋"/>
          <w:b/>
          <w:bCs/>
          <w:iCs/>
          <w:color w:val="auto"/>
          <w:sz w:val="28"/>
          <w:szCs w:val="28"/>
        </w:rPr>
      </w:pPr>
      <w:bookmarkStart w:id="42" w:name="_Toc29967"/>
      <w:r>
        <w:rPr>
          <w:rFonts w:hint="eastAsia" w:ascii="仿宋" w:hAnsi="仿宋" w:eastAsia="仿宋" w:cs="仿宋"/>
          <w:b/>
          <w:bCs/>
          <w:iCs/>
          <w:color w:val="auto"/>
          <w:sz w:val="28"/>
          <w:szCs w:val="28"/>
          <w:lang w:val="en-US" w:eastAsia="zh-CN"/>
        </w:rPr>
        <w:t xml:space="preserve">4.1 </w:t>
      </w:r>
      <w:r>
        <w:rPr>
          <w:rFonts w:hint="eastAsia" w:ascii="仿宋" w:hAnsi="仿宋" w:eastAsia="仿宋" w:cs="仿宋"/>
          <w:b/>
          <w:bCs/>
          <w:iCs/>
          <w:color w:val="auto"/>
          <w:sz w:val="28"/>
          <w:szCs w:val="28"/>
        </w:rPr>
        <w:t>应急堵漏方案</w:t>
      </w:r>
      <w:bookmarkEnd w:id="40"/>
      <w:bookmarkEnd w:id="41"/>
      <w:bookmarkEnd w:id="42"/>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rPr>
        <w:t>由于每艘船舶自备一定量的堵漏器材，如堵漏毯、堵漏板、堵漏箱、堵漏螺杆、堵漏柱、木塞、木楔、橡皮、毡子、水泥、沙子等等，因此当船体发生破损，第一时间由船方采取应急堵漏措施。</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应急人员到达现场后，首先考虑就地取材，使用船舶本身的堵漏器材。特殊情况时，在破口范围超过船舶自备的堵漏器材能力时，本公司将依据现场勘验情况，立即定制并准备其他堵漏器材，同时在泄漏点四周布设围油栏。破口较大时，在堵漏同时采取应急卸载和转驳。</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应急堵漏处理原则：安全、快捷。</w:t>
      </w:r>
    </w:p>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bookmarkStart w:id="43" w:name="_Toc1999"/>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.1.1</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破口在水线以上的应急堵漏方案</w:t>
      </w:r>
      <w:bookmarkEnd w:id="43"/>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破口在船舶水线以上的应急堵漏不考虑甲板和甲板管路应急堵漏以及船壳小裂缝的情况。水线上出现破洞，船舶首先考虑在不影响船舶自身安全（密切关注稳性、浮性）的前提下，转载破损舱的污染物，对称灌注（应急卸载部分见</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.2部分）。</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小的破口主要考虑木塞、木楔；大的破口主要考虑钩头螺杆（一个或多个）。破洞的卷口通常有向外和向内2种情形，考虑到卷口向外时，堵漏箱在实际应用中难以固定（特别是船壳）。为了避免事故船舶的二次污染，本公司主要考虑是冷工（打孔）作业处理。</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b/>
          <w:color w:val="auto"/>
          <w:sz w:val="21"/>
          <w:szCs w:val="21"/>
        </w:rPr>
      </w:pPr>
      <w:r>
        <w:rPr>
          <w:rFonts w:hint="eastAsia" w:ascii="仿宋" w:hAnsi="仿宋" w:eastAsia="仿宋" w:cs="仿宋"/>
          <w:color w:val="auto"/>
          <w:sz w:val="28"/>
          <w:szCs w:val="28"/>
        </w:rPr>
        <w:t>参考处理办法示意图见图</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-1。</w:t>
      </w:r>
    </w:p>
    <w:p>
      <w:pPr>
        <w:spacing w:line="240" w:lineRule="auto"/>
        <w:jc w:val="both"/>
        <w:rPr>
          <w:rFonts w:hint="eastAsia" w:ascii="仿宋" w:hAnsi="仿宋" w:eastAsia="仿宋" w:cs="仿宋"/>
          <w:b/>
          <w:color w:val="auto"/>
          <w:sz w:val="21"/>
          <w:szCs w:val="21"/>
        </w:rPr>
      </w:pPr>
      <w:r>
        <w:rPr>
          <w:rFonts w:hint="eastAsia" w:ascii="仿宋" w:hAnsi="仿宋" w:eastAsia="仿宋" w:cs="仿宋"/>
          <w:b/>
          <w:color w:val="auto"/>
          <w:sz w:val="21"/>
          <w:szCs w:val="21"/>
          <w:lang w:val="en-US" w:eastAsia="zh-CN"/>
        </w:rPr>
        <w:t xml:space="preserve">              </w:t>
      </w:r>
      <w:r>
        <w:rPr>
          <w:rFonts w:hint="eastAsia" w:ascii="仿宋" w:hAnsi="仿宋" w:eastAsia="仿宋" w:cs="仿宋"/>
          <w:b/>
          <w:color w:val="auto"/>
          <w:sz w:val="21"/>
          <w:szCs w:val="21"/>
          <w:lang w:eastAsia="zh-CN"/>
        </w:rPr>
        <w:drawing>
          <wp:inline distT="0" distB="0" distL="114300" distR="114300">
            <wp:extent cx="3783330" cy="1464310"/>
            <wp:effectExtent l="0" t="0" r="7620" b="2540"/>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15"/>
                    <a:stretch>
                      <a:fillRect/>
                    </a:stretch>
                  </pic:blipFill>
                  <pic:spPr>
                    <a:xfrm>
                      <a:off x="0" y="0"/>
                      <a:ext cx="3783330" cy="1464310"/>
                    </a:xfrm>
                    <a:prstGeom prst="rect">
                      <a:avLst/>
                    </a:prstGeom>
                  </pic:spPr>
                </pic:pic>
              </a:graphicData>
            </a:graphic>
          </wp:inline>
        </w:drawing>
      </w:r>
    </w:p>
    <w:p>
      <w:pPr>
        <w:keepLines w:val="0"/>
        <w:pageBreakBefore w:val="0"/>
        <w:widowControl/>
        <w:kinsoku/>
        <w:wordWrap/>
        <w:overflowPunct/>
        <w:topLinePunct w:val="0"/>
        <w:autoSpaceDE/>
        <w:autoSpaceDN/>
        <w:bidi w:val="0"/>
        <w:adjustRightInd/>
        <w:snapToGrid/>
        <w:spacing w:line="360" w:lineRule="auto"/>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722370" cy="1472565"/>
            <wp:effectExtent l="0" t="0" r="11430" b="13335"/>
            <wp:docPr id="5" name="图片 5"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2"/>
                    <pic:cNvPicPr>
                      <a:picLocks noChangeAspect="1"/>
                    </pic:cNvPicPr>
                  </pic:nvPicPr>
                  <pic:blipFill>
                    <a:blip r:embed="rId16"/>
                    <a:stretch>
                      <a:fillRect/>
                    </a:stretch>
                  </pic:blipFill>
                  <pic:spPr>
                    <a:xfrm>
                      <a:off x="0" y="0"/>
                      <a:ext cx="3722370" cy="1472565"/>
                    </a:xfrm>
                    <a:prstGeom prst="rect">
                      <a:avLst/>
                    </a:prstGeom>
                  </pic:spPr>
                </pic:pic>
              </a:graphicData>
            </a:graphic>
          </wp:inline>
        </w:drawing>
      </w:r>
    </w:p>
    <w:p>
      <w:pPr>
        <w:spacing w:line="48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4</w:t>
      </w:r>
      <w:r>
        <w:rPr>
          <w:rFonts w:hint="eastAsia" w:ascii="仿宋" w:hAnsi="仿宋" w:eastAsia="仿宋" w:cs="仿宋"/>
          <w:b/>
          <w:color w:val="auto"/>
          <w:sz w:val="24"/>
          <w:szCs w:val="24"/>
        </w:rPr>
        <w:t>-1 水线以上破口应急堵漏示意图</w:t>
      </w:r>
      <w:bookmarkStart w:id="44" w:name="_Toc14587"/>
    </w:p>
    <w:p>
      <w:pPr>
        <w:spacing w:line="480" w:lineRule="exact"/>
        <w:jc w:val="center"/>
        <w:rPr>
          <w:rFonts w:hint="eastAsia" w:ascii="仿宋" w:hAnsi="仿宋" w:eastAsia="仿宋" w:cs="仿宋"/>
          <w:b/>
          <w:color w:val="auto"/>
          <w:sz w:val="24"/>
          <w:szCs w:val="24"/>
          <w:lang w:val="en-US" w:eastAsia="zh-CN"/>
        </w:rPr>
      </w:pPr>
    </w:p>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4</w:t>
      </w:r>
      <w:r>
        <w:rPr>
          <w:rFonts w:hint="eastAsia" w:ascii="仿宋" w:hAnsi="仿宋" w:eastAsia="仿宋" w:cs="仿宋"/>
          <w:b/>
          <w:bCs/>
          <w:color w:val="auto"/>
          <w:sz w:val="28"/>
          <w:szCs w:val="28"/>
        </w:rPr>
        <w:t>.1.2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破口在水线以下的应急堵漏</w:t>
      </w:r>
      <w:bookmarkEnd w:id="44"/>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在这种情况下，首先考虑应急卸载，使得破损舱污染物液面下降到水线附近（最好是船体外部海水产生的压力略大于舱内污染物产生的压力）。这时，依据破口大小，按照上述的方法，由现场海事管理机构协调，由外来协助单位派潜水员予以处理。</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outlineLvl w:val="9"/>
        <w:rPr>
          <w:rFonts w:hint="eastAsia" w:ascii="仿宋" w:hAnsi="仿宋" w:eastAsia="仿宋" w:cs="仿宋"/>
          <w:b/>
          <w:color w:val="auto"/>
          <w:sz w:val="28"/>
          <w:szCs w:val="28"/>
        </w:rPr>
      </w:pPr>
      <w:r>
        <w:rPr>
          <w:rFonts w:hint="eastAsia" w:ascii="仿宋" w:hAnsi="仿宋" w:eastAsia="仿宋" w:cs="仿宋"/>
          <w:b/>
          <w:color w:val="auto"/>
          <w:sz w:val="28"/>
          <w:szCs w:val="28"/>
        </w:rPr>
        <w:t>堵漏作业注意事项：</w:t>
      </w:r>
    </w:p>
    <w:p>
      <w:pPr>
        <w:keepLines w:val="0"/>
        <w:pageBreakBefore w:val="0"/>
        <w:widowControl/>
        <w:numPr>
          <w:ilvl w:val="0"/>
          <w:numId w:val="1"/>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首先从船方获得油品火灾爆炸危险性、毒害性等安全及应急措施信息，必须采取防爆措施，采用防爆堵漏用具；作业人员应穿上防护衣、防护鞋、戴上防护眼镜和防护手套</w:t>
      </w:r>
      <w:r>
        <w:rPr>
          <w:rFonts w:hint="eastAsia" w:ascii="仿宋" w:hAnsi="仿宋" w:eastAsia="仿宋" w:cs="仿宋"/>
          <w:color w:val="auto"/>
          <w:sz w:val="28"/>
          <w:szCs w:val="28"/>
          <w:lang w:eastAsia="zh-CN"/>
        </w:rPr>
        <w:t>。</w:t>
      </w:r>
    </w:p>
    <w:p>
      <w:pPr>
        <w:keepLines w:val="0"/>
        <w:pageBreakBefore w:val="0"/>
        <w:widowControl/>
        <w:numPr>
          <w:ilvl w:val="0"/>
          <w:numId w:val="1"/>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船体破损的情况（破口形状、大小、液体压力等）</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评估本公司堵漏用具的适用性及堵漏作业的可行性和安全性</w:t>
      </w:r>
      <w:r>
        <w:rPr>
          <w:rFonts w:hint="eastAsia" w:ascii="仿宋" w:hAnsi="仿宋" w:eastAsia="仿宋" w:cs="仿宋"/>
          <w:color w:val="auto"/>
          <w:sz w:val="28"/>
          <w:szCs w:val="28"/>
          <w:lang w:eastAsia="zh-CN"/>
        </w:rPr>
        <w:t>。</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事故现场的风、浪、流情况，需符合安全作业条件</w:t>
      </w:r>
      <w:r>
        <w:rPr>
          <w:rFonts w:hint="eastAsia" w:ascii="仿宋" w:hAnsi="仿宋" w:eastAsia="仿宋" w:cs="仿宋"/>
          <w:color w:val="auto"/>
          <w:sz w:val="28"/>
          <w:szCs w:val="28"/>
          <w:lang w:eastAsia="zh-CN"/>
        </w:rPr>
        <w:t>。</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进行堵漏作业时，必须有安全监护</w:t>
      </w:r>
      <w:r>
        <w:rPr>
          <w:rFonts w:hint="eastAsia" w:ascii="仿宋" w:hAnsi="仿宋" w:eastAsia="仿宋" w:cs="仿宋"/>
          <w:color w:val="auto"/>
          <w:sz w:val="28"/>
          <w:szCs w:val="28"/>
          <w:lang w:eastAsia="zh-CN"/>
        </w:rPr>
        <w:t>。</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（5）一旦出现危险情景，应立即停止堵漏作业。</w:t>
      </w:r>
    </w:p>
    <w:p>
      <w:pPr>
        <w:pStyle w:val="25"/>
        <w:keepNext/>
        <w:keepLines w:val="0"/>
        <w:pageBreakBefore w:val="0"/>
        <w:widowControl/>
        <w:kinsoku/>
        <w:wordWrap/>
        <w:overflowPunct/>
        <w:topLinePunct w:val="0"/>
        <w:autoSpaceDE/>
        <w:autoSpaceDN/>
        <w:bidi w:val="0"/>
        <w:adjustRightInd/>
        <w:snapToGrid/>
        <w:spacing w:before="164" w:beforeLines="50" w:after="164" w:afterLines="50" w:line="360" w:lineRule="auto"/>
        <w:jc w:val="both"/>
        <w:textAlignment w:val="auto"/>
        <w:outlineLvl w:val="1"/>
        <w:rPr>
          <w:rFonts w:hint="eastAsia" w:ascii="仿宋" w:hAnsi="仿宋" w:eastAsia="仿宋" w:cs="仿宋"/>
          <w:b/>
          <w:bCs/>
          <w:iCs/>
          <w:color w:val="auto"/>
          <w:sz w:val="28"/>
          <w:szCs w:val="28"/>
        </w:rPr>
      </w:pPr>
      <w:bookmarkStart w:id="45" w:name="_Toc10936"/>
      <w:bookmarkStart w:id="46" w:name="_Toc14846"/>
      <w:bookmarkStart w:id="47" w:name="_Toc13276"/>
      <w:r>
        <w:rPr>
          <w:rFonts w:hint="eastAsia" w:ascii="仿宋" w:hAnsi="仿宋" w:eastAsia="仿宋" w:cs="仿宋"/>
          <w:b/>
          <w:bCs/>
          <w:iCs/>
          <w:color w:val="auto"/>
          <w:sz w:val="28"/>
          <w:szCs w:val="28"/>
          <w:lang w:val="en-US" w:eastAsia="zh-CN"/>
        </w:rPr>
        <w:t>4</w:t>
      </w:r>
      <w:r>
        <w:rPr>
          <w:rFonts w:hint="eastAsia" w:ascii="仿宋" w:hAnsi="仿宋" w:eastAsia="仿宋" w:cs="仿宋"/>
          <w:b/>
          <w:bCs/>
          <w:iCs/>
          <w:color w:val="auto"/>
          <w:sz w:val="28"/>
          <w:szCs w:val="28"/>
        </w:rPr>
        <w:t>.2</w:t>
      </w:r>
      <w:r>
        <w:rPr>
          <w:rFonts w:hint="eastAsia" w:ascii="仿宋" w:hAnsi="仿宋" w:eastAsia="仿宋" w:cs="仿宋"/>
          <w:b/>
          <w:bCs/>
          <w:iCs/>
          <w:color w:val="auto"/>
          <w:sz w:val="28"/>
          <w:szCs w:val="28"/>
          <w:lang w:val="en-US" w:eastAsia="zh-CN"/>
        </w:rPr>
        <w:t xml:space="preserve"> </w:t>
      </w:r>
      <w:r>
        <w:rPr>
          <w:rFonts w:hint="eastAsia" w:ascii="仿宋" w:hAnsi="仿宋" w:eastAsia="仿宋" w:cs="仿宋"/>
          <w:b/>
          <w:bCs/>
          <w:iCs/>
          <w:color w:val="auto"/>
          <w:sz w:val="28"/>
          <w:szCs w:val="28"/>
        </w:rPr>
        <w:t>应急卸载方案</w:t>
      </w:r>
      <w:bookmarkEnd w:id="45"/>
      <w:bookmarkEnd w:id="46"/>
      <w:bookmarkEnd w:id="47"/>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当船舶发生碰撞、搁浅或沉没时，将油舱或燃料舱中的油品转移到其他油驳，从而在事故第一时间在源头上控制溢油事故规模。</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1）事故船舶采取转载行动之前，务必对剩余稳性、船体强度、破船稳性等等进行计算，并在海事管理机构确认同意的情况下，本公司依据事故船舶提供的信息（包括泄漏污染物的名称、安全数据MSDS、计划卸载数量等等），调集本公司相匹配的船舶（作业船舶的承载能力必须不小于事故船计划转载量）对污染物进行接收转载。</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（2）事故船本身的装卸能力不受影响，则可近似为船靠船过驳作业。相关作业注意事项，参照本公司船舶污油接收和清舱作业的安全规程。</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（3）事故船舶丧失装卸能力，由本公司提供便携式卸载泵，进行应急卸载作业处理。必要时，可酌情考虑对事故船舶的船体冷工开口处理。</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（4）应急卸载作业前应进行安全检查，见附表1。</w:t>
      </w:r>
    </w:p>
    <w:p>
      <w:pPr>
        <w:spacing w:line="360" w:lineRule="auto"/>
        <w:jc w:val="both"/>
        <w:rPr>
          <w:rFonts w:hint="eastAsia" w:ascii="仿宋" w:hAnsi="仿宋" w:eastAsia="仿宋" w:cs="仿宋"/>
          <w:color w:val="auto"/>
          <w:sz w:val="28"/>
          <w:szCs w:val="28"/>
        </w:rPr>
      </w:pPr>
      <w:r>
        <w:rPr>
          <w:rFonts w:hint="eastAsia" w:ascii="仿宋" w:hAnsi="仿宋" w:eastAsia="仿宋" w:cs="仿宋"/>
          <w:color w:val="auto"/>
          <w:sz w:val="28"/>
          <w:szCs w:val="28"/>
        </w:rPr>
        <w:t>应急卸载方案包括卸载泵的准备及装运、现场使用及应急结束后的处理。</w:t>
      </w:r>
    </w:p>
    <w:p>
      <w:pPr>
        <w:spacing w:line="360" w:lineRule="auto"/>
        <w:ind w:firstLine="562" w:firstLineChars="200"/>
        <w:jc w:val="both"/>
        <w:rPr>
          <w:rFonts w:hint="eastAsia" w:ascii="仿宋" w:hAnsi="仿宋" w:eastAsia="仿宋" w:cs="仿宋"/>
          <w:b/>
          <w:bCs/>
          <w:color w:val="auto"/>
          <w:sz w:val="28"/>
          <w:szCs w:val="28"/>
        </w:rPr>
      </w:pPr>
      <w:bookmarkStart w:id="48" w:name="_Toc13510"/>
      <w:bookmarkStart w:id="49" w:name="_Toc1806"/>
      <w:r>
        <w:rPr>
          <w:rFonts w:hint="eastAsia" w:ascii="仿宋" w:hAnsi="仿宋" w:eastAsia="仿宋" w:cs="仿宋"/>
          <w:b/>
          <w:bCs/>
          <w:color w:val="auto"/>
          <w:sz w:val="28"/>
          <w:szCs w:val="28"/>
          <w:lang w:val="en-US" w:eastAsia="zh-CN"/>
        </w:rPr>
        <w:t>4</w:t>
      </w:r>
      <w:r>
        <w:rPr>
          <w:rFonts w:hint="eastAsia" w:ascii="仿宋" w:hAnsi="仿宋" w:eastAsia="仿宋" w:cs="仿宋"/>
          <w:b/>
          <w:bCs/>
          <w:color w:val="auto"/>
          <w:sz w:val="28"/>
          <w:szCs w:val="28"/>
        </w:rPr>
        <w:t>.2.1本公司应急卸载泵的配备情况</w:t>
      </w:r>
      <w:bookmarkEnd w:id="48"/>
      <w:bookmarkEnd w:id="49"/>
    </w:p>
    <w:p>
      <w:pPr>
        <w:spacing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rPr>
        <w:t>本公司有自配应急卸载泵二套，卸载排量可自行调节，总卸载能力达到200m³/h</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详见表</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-1。</w:t>
      </w:r>
    </w:p>
    <w:p>
      <w:pPr>
        <w:spacing w:line="480" w:lineRule="exact"/>
        <w:jc w:val="center"/>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4</w:t>
      </w:r>
      <w:r>
        <w:rPr>
          <w:rFonts w:hint="eastAsia" w:ascii="仿宋" w:hAnsi="仿宋" w:eastAsia="仿宋" w:cs="仿宋"/>
          <w:b/>
          <w:color w:val="auto"/>
          <w:sz w:val="28"/>
          <w:szCs w:val="28"/>
        </w:rPr>
        <w:t>-1 应急卸载泵配备情况表</w:t>
      </w:r>
    </w:p>
    <w:tbl>
      <w:tblPr>
        <w:tblStyle w:val="13"/>
        <w:tblW w:w="8288" w:type="dxa"/>
        <w:tblInd w:w="108" w:type="dxa"/>
        <w:tblLayout w:type="autofit"/>
        <w:tblCellMar>
          <w:top w:w="0" w:type="dxa"/>
          <w:left w:w="108" w:type="dxa"/>
          <w:bottom w:w="0" w:type="dxa"/>
          <w:right w:w="108" w:type="dxa"/>
        </w:tblCellMar>
      </w:tblPr>
      <w:tblGrid>
        <w:gridCol w:w="948"/>
        <w:gridCol w:w="1260"/>
        <w:gridCol w:w="930"/>
        <w:gridCol w:w="1545"/>
        <w:gridCol w:w="3605"/>
      </w:tblGrid>
      <w:tr>
        <w:tblPrEx>
          <w:tblCellMar>
            <w:top w:w="0" w:type="dxa"/>
            <w:left w:w="108" w:type="dxa"/>
            <w:bottom w:w="0" w:type="dxa"/>
            <w:right w:w="108" w:type="dxa"/>
          </w:tblCellMar>
        </w:tblPrEx>
        <w:tc>
          <w:tcPr>
            <w:tcW w:w="948" w:type="dxa"/>
            <w:tcBorders>
              <w:top w:val="single" w:color="auto" w:sz="12" w:space="0"/>
              <w:left w:val="single" w:color="auto" w:sz="12" w:space="0"/>
              <w:bottom w:val="single" w:color="auto" w:sz="4" w:space="0"/>
              <w:right w:val="single" w:color="auto" w:sz="4" w:space="0"/>
            </w:tcBorders>
            <w:noWrap w:val="0"/>
            <w:vAlign w:val="center"/>
          </w:tcPr>
          <w:p>
            <w:pPr>
              <w:spacing w:line="40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260" w:type="dxa"/>
            <w:tcBorders>
              <w:top w:val="single" w:color="auto" w:sz="12" w:space="0"/>
              <w:left w:val="single" w:color="auto" w:sz="4" w:space="0"/>
              <w:bottom w:val="single" w:color="auto" w:sz="4" w:space="0"/>
              <w:right w:val="single" w:color="auto" w:sz="4" w:space="0"/>
            </w:tcBorders>
            <w:noWrap w:val="0"/>
            <w:vAlign w:val="center"/>
          </w:tcPr>
          <w:p>
            <w:pPr>
              <w:spacing w:line="40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930" w:type="dxa"/>
            <w:tcBorders>
              <w:top w:val="single" w:color="auto" w:sz="12" w:space="0"/>
              <w:left w:val="single" w:color="auto" w:sz="4" w:space="0"/>
              <w:bottom w:val="single" w:color="auto" w:sz="4" w:space="0"/>
              <w:right w:val="single" w:color="auto" w:sz="4" w:space="0"/>
            </w:tcBorders>
            <w:noWrap w:val="0"/>
            <w:vAlign w:val="center"/>
          </w:tcPr>
          <w:p>
            <w:pPr>
              <w:spacing w:line="40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1545" w:type="dxa"/>
            <w:tcBorders>
              <w:top w:val="single" w:color="auto" w:sz="12" w:space="0"/>
              <w:left w:val="single" w:color="auto" w:sz="4" w:space="0"/>
              <w:bottom w:val="single" w:color="auto" w:sz="4" w:space="0"/>
              <w:right w:val="single" w:color="auto" w:sz="4" w:space="0"/>
            </w:tcBorders>
            <w:noWrap w:val="0"/>
            <w:vAlign w:val="center"/>
          </w:tcPr>
          <w:p>
            <w:pPr>
              <w:spacing w:line="40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lang w:eastAsia="zh-CN"/>
              </w:rPr>
              <w:t>生产</w:t>
            </w:r>
            <w:r>
              <w:rPr>
                <w:rFonts w:hint="eastAsia" w:ascii="仿宋" w:hAnsi="仿宋" w:eastAsia="仿宋" w:cs="仿宋"/>
                <w:b/>
                <w:color w:val="auto"/>
                <w:sz w:val="24"/>
                <w:szCs w:val="24"/>
              </w:rPr>
              <w:t>厂家</w:t>
            </w:r>
          </w:p>
        </w:tc>
        <w:tc>
          <w:tcPr>
            <w:tcW w:w="3605" w:type="dxa"/>
            <w:tcBorders>
              <w:top w:val="single" w:color="auto" w:sz="12" w:space="0"/>
              <w:left w:val="single" w:color="auto" w:sz="4" w:space="0"/>
              <w:bottom w:val="single" w:color="auto" w:sz="4" w:space="0"/>
              <w:right w:val="single" w:color="auto" w:sz="12" w:space="0"/>
            </w:tcBorders>
            <w:noWrap w:val="0"/>
            <w:vAlign w:val="center"/>
          </w:tcPr>
          <w:p>
            <w:pPr>
              <w:spacing w:line="40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性能描述</w:t>
            </w:r>
          </w:p>
        </w:tc>
      </w:tr>
      <w:tr>
        <w:tblPrEx>
          <w:tblCellMar>
            <w:top w:w="0" w:type="dxa"/>
            <w:left w:w="108" w:type="dxa"/>
            <w:bottom w:w="0" w:type="dxa"/>
            <w:right w:w="108" w:type="dxa"/>
          </w:tblCellMar>
        </w:tblPrEx>
        <w:trPr>
          <w:trHeight w:val="520" w:hRule="atLeast"/>
        </w:trPr>
        <w:tc>
          <w:tcPr>
            <w:tcW w:w="948" w:type="dxa"/>
            <w:tcBorders>
              <w:top w:val="single" w:color="auto" w:sz="4" w:space="0"/>
              <w:left w:val="single" w:color="auto" w:sz="12" w:space="0"/>
              <w:bottom w:val="single" w:color="auto" w:sz="12" w:space="0"/>
              <w:right w:val="single" w:color="auto" w:sz="4" w:space="0"/>
            </w:tcBorders>
            <w:noWrap w:val="0"/>
            <w:vAlign w:val="center"/>
          </w:tcPr>
          <w:p>
            <w:pPr>
              <w:spacing w:line="400" w:lineRule="exact"/>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260" w:type="dxa"/>
            <w:tcBorders>
              <w:top w:val="single" w:color="auto" w:sz="4" w:space="0"/>
              <w:left w:val="single" w:color="auto" w:sz="4" w:space="0"/>
              <w:bottom w:val="single" w:color="auto" w:sz="12" w:space="0"/>
              <w:right w:val="single" w:color="auto" w:sz="4" w:space="0"/>
            </w:tcBorders>
            <w:noWrap w:val="0"/>
            <w:vAlign w:val="center"/>
          </w:tcPr>
          <w:p>
            <w:pPr>
              <w:spacing w:line="400" w:lineRule="exact"/>
              <w:jc w:val="center"/>
              <w:rPr>
                <w:rFonts w:hint="eastAsia" w:ascii="仿宋" w:hAnsi="仿宋" w:eastAsia="仿宋" w:cs="仿宋"/>
                <w:color w:val="auto"/>
                <w:sz w:val="24"/>
                <w:szCs w:val="24"/>
              </w:rPr>
            </w:pPr>
            <w:r>
              <w:rPr>
                <w:rFonts w:hint="eastAsia" w:ascii="仿宋" w:hAnsi="仿宋" w:eastAsia="仿宋" w:cs="仿宋"/>
                <w:color w:val="auto"/>
                <w:sz w:val="24"/>
                <w:szCs w:val="24"/>
              </w:rPr>
              <w:t>XZB100</w:t>
            </w:r>
          </w:p>
        </w:tc>
        <w:tc>
          <w:tcPr>
            <w:tcW w:w="930" w:type="dxa"/>
            <w:tcBorders>
              <w:top w:val="single" w:color="auto" w:sz="4" w:space="0"/>
              <w:left w:val="single" w:color="auto" w:sz="4" w:space="0"/>
              <w:bottom w:val="single" w:color="auto" w:sz="12" w:space="0"/>
              <w:right w:val="single" w:color="auto" w:sz="4" w:space="0"/>
            </w:tcBorders>
            <w:noWrap w:val="0"/>
            <w:vAlign w:val="center"/>
          </w:tcPr>
          <w:p>
            <w:pPr>
              <w:spacing w:line="400" w:lineRule="exact"/>
              <w:jc w:val="center"/>
              <w:rPr>
                <w:rFonts w:hint="eastAsia" w:ascii="仿宋" w:hAnsi="仿宋" w:eastAsia="仿宋" w:cs="仿宋"/>
                <w:color w:val="auto"/>
                <w:sz w:val="24"/>
                <w:szCs w:val="24"/>
              </w:rPr>
            </w:pPr>
            <w:r>
              <w:rPr>
                <w:rFonts w:hint="eastAsia" w:ascii="仿宋" w:hAnsi="仿宋" w:eastAsia="仿宋" w:cs="仿宋"/>
                <w:color w:val="auto"/>
                <w:sz w:val="24"/>
                <w:szCs w:val="24"/>
              </w:rPr>
              <w:t>2套</w:t>
            </w:r>
          </w:p>
        </w:tc>
        <w:tc>
          <w:tcPr>
            <w:tcW w:w="1545" w:type="dxa"/>
            <w:tcBorders>
              <w:top w:val="single" w:color="auto" w:sz="4" w:space="0"/>
              <w:left w:val="single" w:color="auto" w:sz="4" w:space="0"/>
              <w:bottom w:val="single" w:color="auto" w:sz="12" w:space="0"/>
              <w:right w:val="single" w:color="auto" w:sz="4" w:space="0"/>
            </w:tcBorders>
            <w:noWrap w:val="0"/>
            <w:vAlign w:val="center"/>
          </w:tcPr>
          <w:p>
            <w:pPr>
              <w:spacing w:line="400" w:lineRule="exact"/>
              <w:jc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rPr>
              <w:t xml:space="preserve"> </w:t>
            </w:r>
            <w:r>
              <w:rPr>
                <w:rFonts w:hint="eastAsia" w:ascii="仿宋" w:hAnsi="仿宋" w:eastAsia="仿宋" w:cs="仿宋"/>
                <w:color w:val="auto"/>
                <w:sz w:val="24"/>
                <w:szCs w:val="24"/>
                <w:lang w:eastAsia="zh-CN"/>
              </w:rPr>
              <w:t>青岛华海</w:t>
            </w:r>
          </w:p>
        </w:tc>
        <w:tc>
          <w:tcPr>
            <w:tcW w:w="3605" w:type="dxa"/>
            <w:tcBorders>
              <w:top w:val="single" w:color="auto" w:sz="4" w:space="0"/>
              <w:left w:val="single" w:color="auto" w:sz="4" w:space="0"/>
              <w:bottom w:val="single" w:color="auto" w:sz="12" w:space="0"/>
              <w:right w:val="single" w:color="auto" w:sz="12" w:space="0"/>
            </w:tcBorders>
            <w:noWrap w:val="0"/>
            <w:vAlign w:val="center"/>
          </w:tcPr>
          <w:p>
            <w:pPr>
              <w:spacing w:line="400" w:lineRule="exact"/>
              <w:rPr>
                <w:rFonts w:hint="eastAsia" w:ascii="仿宋" w:hAnsi="仿宋" w:eastAsia="仿宋" w:cs="仿宋"/>
                <w:color w:val="auto"/>
                <w:sz w:val="24"/>
                <w:szCs w:val="24"/>
              </w:rPr>
            </w:pPr>
            <w:r>
              <w:rPr>
                <w:rFonts w:hint="eastAsia" w:ascii="仿宋" w:hAnsi="仿宋" w:eastAsia="仿宋" w:cs="仿宋"/>
                <w:color w:val="auto"/>
                <w:sz w:val="24"/>
                <w:szCs w:val="24"/>
              </w:rPr>
              <w:t>输油泵抽排量100m³/h</w:t>
            </w:r>
          </w:p>
        </w:tc>
      </w:tr>
    </w:tbl>
    <w:p>
      <w:pPr>
        <w:pStyle w:val="26"/>
        <w:spacing w:line="360" w:lineRule="auto"/>
        <w:ind w:left="0" w:leftChars="0" w:firstLine="0" w:firstLineChars="0"/>
        <w:jc w:val="both"/>
        <w:outlineLvl w:val="9"/>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9"/>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0"/>
        <w:rPr>
          <w:rFonts w:hint="eastAsia" w:ascii="仿宋" w:hAnsi="仿宋" w:eastAsia="仿宋" w:cs="仿宋"/>
          <w:color w:val="auto"/>
          <w:sz w:val="28"/>
          <w:szCs w:val="28"/>
          <w:lang w:val="en-US" w:eastAsia="zh-CN"/>
        </w:rPr>
      </w:pPr>
      <w:bookmarkStart w:id="50" w:name="_Toc18354"/>
    </w:p>
    <w:p>
      <w:pPr>
        <w:pStyle w:val="26"/>
        <w:spacing w:line="360" w:lineRule="auto"/>
        <w:ind w:left="0" w:leftChars="0" w:firstLine="562" w:firstLineChars="200"/>
        <w:jc w:val="both"/>
        <w:outlineLvl w:val="0"/>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0"/>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0"/>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0"/>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0"/>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0"/>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0"/>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0"/>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主要敏感资源的围护和清除方案</w:t>
      </w:r>
      <w:bookmarkEnd w:id="50"/>
    </w:p>
    <w:p>
      <w:pPr>
        <w:pStyle w:val="25"/>
        <w:spacing w:line="360" w:lineRule="auto"/>
        <w:ind w:left="0" w:leftChars="0" w:firstLine="562" w:firstLineChars="200"/>
        <w:jc w:val="both"/>
        <w:outlineLvl w:val="1"/>
        <w:rPr>
          <w:rFonts w:hint="eastAsia" w:ascii="仿宋" w:hAnsi="仿宋" w:eastAsia="仿宋" w:cs="仿宋"/>
          <w:color w:val="auto"/>
          <w:sz w:val="28"/>
          <w:szCs w:val="28"/>
        </w:rPr>
      </w:pPr>
      <w:bookmarkStart w:id="51" w:name="_Toc309251338"/>
      <w:bookmarkEnd w:id="51"/>
      <w:bookmarkStart w:id="52" w:name="_Toc1810"/>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.1</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主要敏感资源围护方案</w:t>
      </w:r>
      <w:bookmarkEnd w:id="52"/>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海域的敏感资源，集中在岸线附近，包括旅游区、沙滩、沼泽地等，根据监视和溢油运移扩散预测，对将受到溢油威胁的岸线及敏感资源采取保护措施，以免溢油上岸后不仅会污染岸线及敏感资源，尽量避免进行岸线清除油污染。</w:t>
      </w:r>
    </w:p>
    <w:p>
      <w:pPr>
        <w:spacing w:before="120" w:after="120"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综合考虑各种有关因素，如敏感区和资源对污染物的敏感程度、现有应急措施的可行性和有效性、被污染后清理的难易程度以及可能造成的经济损失等，确定优先保护次序。本方案对敏感区域和资源的优先保护基本次序建议如下：</w:t>
      </w:r>
    </w:p>
    <w:p>
      <w:pPr>
        <w:numPr>
          <w:ilvl w:val="0"/>
          <w:numId w:val="2"/>
        </w:numPr>
        <w:spacing w:before="120" w:after="120" w:line="360" w:lineRule="auto"/>
        <w:ind w:firstLine="480"/>
        <w:jc w:val="both"/>
        <w:rPr>
          <w:rFonts w:hint="eastAsia" w:ascii="仿宋" w:hAnsi="仿宋" w:eastAsia="仿宋" w:cs="仿宋"/>
          <w:sz w:val="28"/>
          <w:szCs w:val="28"/>
        </w:rPr>
      </w:pPr>
      <w:r>
        <w:rPr>
          <w:rFonts w:hint="eastAsia" w:ascii="仿宋" w:hAnsi="仿宋" w:eastAsia="仿宋" w:cs="仿宋"/>
          <w:sz w:val="28"/>
          <w:szCs w:val="28"/>
        </w:rPr>
        <w:t>饮用水源保护区</w:t>
      </w:r>
    </w:p>
    <w:p>
      <w:pPr>
        <w:numPr>
          <w:ilvl w:val="0"/>
          <w:numId w:val="0"/>
        </w:numPr>
        <w:spacing w:before="120" w:after="120" w:line="360" w:lineRule="auto"/>
        <w:ind w:left="480" w:leftChars="0" w:right="0" w:rightChars="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sz w:val="28"/>
          <w:szCs w:val="28"/>
        </w:rPr>
        <w:t>生态自然保护区</w:t>
      </w:r>
    </w:p>
    <w:p>
      <w:pPr>
        <w:spacing w:before="120" w:after="120" w:line="360" w:lineRule="auto"/>
        <w:ind w:firstLine="480"/>
        <w:jc w:val="both"/>
        <w:rPr>
          <w:rFonts w:hint="eastAsia" w:ascii="仿宋" w:hAnsi="仿宋" w:eastAsia="仿宋" w:cs="仿宋"/>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sz w:val="28"/>
          <w:szCs w:val="28"/>
        </w:rPr>
        <w:t>渔业资源和水产养殖区</w:t>
      </w:r>
    </w:p>
    <w:p>
      <w:pPr>
        <w:spacing w:before="120" w:after="120"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lang w:eastAsia="zh-CN"/>
        </w:rPr>
        <w:t>）</w:t>
      </w:r>
      <w:r>
        <w:rPr>
          <w:rFonts w:hint="eastAsia" w:ascii="仿宋" w:hAnsi="仿宋" w:eastAsia="仿宋" w:cs="仿宋"/>
          <w:sz w:val="28"/>
          <w:szCs w:val="28"/>
        </w:rPr>
        <w:t>工业用水取水口</w:t>
      </w:r>
    </w:p>
    <w:p>
      <w:pPr>
        <w:spacing w:before="120" w:after="120" w:line="360" w:lineRule="auto"/>
        <w:ind w:firstLine="480"/>
        <w:jc w:val="both"/>
        <w:rPr>
          <w:rFonts w:hint="eastAsia" w:ascii="仿宋" w:hAnsi="仿宋" w:eastAsia="仿宋" w:cs="仿宋"/>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lang w:eastAsia="zh-CN"/>
        </w:rPr>
        <w:t>）</w:t>
      </w:r>
      <w:r>
        <w:rPr>
          <w:rFonts w:hint="eastAsia" w:ascii="仿宋" w:hAnsi="仿宋" w:eastAsia="仿宋" w:cs="仿宋"/>
          <w:sz w:val="28"/>
          <w:szCs w:val="28"/>
        </w:rPr>
        <w:t>风景游览区</w:t>
      </w:r>
    </w:p>
    <w:p>
      <w:pPr>
        <w:spacing w:before="120" w:after="120"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lang w:eastAsia="zh-CN"/>
        </w:rPr>
        <w:t>）</w:t>
      </w:r>
      <w:r>
        <w:rPr>
          <w:rFonts w:hint="eastAsia" w:ascii="仿宋" w:hAnsi="仿宋" w:eastAsia="仿宋" w:cs="仿宋"/>
          <w:sz w:val="28"/>
          <w:szCs w:val="28"/>
        </w:rPr>
        <w:t>其它岸线</w:t>
      </w:r>
    </w:p>
    <w:p>
      <w:pPr>
        <w:spacing w:before="120" w:after="120" w:line="360" w:lineRule="auto"/>
        <w:ind w:firstLine="562" w:firstLineChars="200"/>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5</w:t>
      </w:r>
      <w:r>
        <w:rPr>
          <w:rFonts w:hint="eastAsia" w:ascii="仿宋" w:hAnsi="仿宋" w:eastAsia="仿宋" w:cs="仿宋"/>
          <w:b/>
          <w:bCs/>
          <w:color w:val="auto"/>
          <w:sz w:val="28"/>
          <w:szCs w:val="28"/>
        </w:rPr>
        <w:t>.1.1</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不同类型岸线的围油栏选择</w:t>
      </w:r>
    </w:p>
    <w:p>
      <w:pPr>
        <w:spacing w:before="120" w:after="120"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rPr>
        <w:t>本公司可用于敏感资源围护的围油栏主要包括岸线防护围油栏和岸滩围油栏等，详见表</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-1。</w:t>
      </w:r>
    </w:p>
    <w:p>
      <w:pPr>
        <w:spacing w:before="120" w:after="120" w:line="240" w:lineRule="auto"/>
        <w:jc w:val="center"/>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5</w:t>
      </w:r>
      <w:r>
        <w:rPr>
          <w:rFonts w:hint="eastAsia" w:ascii="仿宋" w:hAnsi="仿宋" w:eastAsia="仿宋" w:cs="仿宋"/>
          <w:b/>
          <w:color w:val="auto"/>
          <w:sz w:val="28"/>
          <w:szCs w:val="28"/>
        </w:rPr>
        <w:t>-1 用于敏感资源围护的围油栏情况表</w:t>
      </w:r>
    </w:p>
    <w:tbl>
      <w:tblPr>
        <w:tblStyle w:val="13"/>
        <w:tblW w:w="8318" w:type="dxa"/>
        <w:tblInd w:w="108" w:type="dxa"/>
        <w:tblLayout w:type="autofit"/>
        <w:tblCellMar>
          <w:top w:w="0" w:type="dxa"/>
          <w:left w:w="108" w:type="dxa"/>
          <w:bottom w:w="0" w:type="dxa"/>
          <w:right w:w="108" w:type="dxa"/>
        </w:tblCellMar>
      </w:tblPr>
      <w:tblGrid>
        <w:gridCol w:w="710"/>
        <w:gridCol w:w="1548"/>
        <w:gridCol w:w="1102"/>
        <w:gridCol w:w="1020"/>
        <w:gridCol w:w="1050"/>
        <w:gridCol w:w="2888"/>
      </w:tblGrid>
      <w:tr>
        <w:tblPrEx>
          <w:tblCellMar>
            <w:top w:w="0" w:type="dxa"/>
            <w:left w:w="108" w:type="dxa"/>
            <w:bottom w:w="0" w:type="dxa"/>
            <w:right w:w="108" w:type="dxa"/>
          </w:tblCellMar>
        </w:tblPrEx>
        <w:tc>
          <w:tcPr>
            <w:tcW w:w="710" w:type="dxa"/>
            <w:tcBorders>
              <w:top w:val="single" w:color="000000" w:sz="12" w:space="0"/>
              <w:left w:val="single" w:color="000000" w:sz="12"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548" w:type="dxa"/>
            <w:tcBorders>
              <w:top w:val="single" w:color="000000" w:sz="12"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1102" w:type="dxa"/>
            <w:tcBorders>
              <w:top w:val="single" w:color="000000" w:sz="12"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1020" w:type="dxa"/>
            <w:tcBorders>
              <w:top w:val="single" w:color="000000" w:sz="12"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1050" w:type="dxa"/>
            <w:tcBorders>
              <w:top w:val="single" w:color="000000" w:sz="12"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b/>
                <w:color w:val="auto"/>
                <w:sz w:val="24"/>
                <w:szCs w:val="24"/>
                <w:lang w:eastAsia="zh-CN"/>
              </w:rPr>
            </w:pPr>
            <w:r>
              <w:rPr>
                <w:rFonts w:hint="eastAsia" w:ascii="仿宋" w:hAnsi="仿宋" w:eastAsia="仿宋" w:cs="仿宋"/>
                <w:b/>
                <w:color w:val="auto"/>
                <w:sz w:val="24"/>
                <w:szCs w:val="24"/>
                <w:lang w:eastAsia="zh-CN"/>
              </w:rPr>
              <w:t>生产</w:t>
            </w:r>
          </w:p>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厂家</w:t>
            </w:r>
          </w:p>
        </w:tc>
        <w:tc>
          <w:tcPr>
            <w:tcW w:w="2888" w:type="dxa"/>
            <w:tcBorders>
              <w:top w:val="single" w:color="000000" w:sz="12" w:space="0"/>
              <w:left w:val="single" w:color="000000" w:sz="6" w:space="0"/>
              <w:bottom w:val="single" w:color="000000" w:sz="6" w:space="0"/>
              <w:right w:val="single" w:color="000000" w:sz="12" w:space="0"/>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主要技术参数</w:t>
            </w:r>
          </w:p>
        </w:tc>
      </w:tr>
      <w:tr>
        <w:tblPrEx>
          <w:tblCellMar>
            <w:top w:w="0" w:type="dxa"/>
            <w:left w:w="108" w:type="dxa"/>
            <w:bottom w:w="0" w:type="dxa"/>
            <w:right w:w="108" w:type="dxa"/>
          </w:tblCellMar>
        </w:tblPrEx>
        <w:trPr>
          <w:trHeight w:val="622" w:hRule="atLeast"/>
        </w:trPr>
        <w:tc>
          <w:tcPr>
            <w:tcW w:w="710" w:type="dxa"/>
            <w:tcBorders>
              <w:top w:val="single" w:color="000000" w:sz="6" w:space="0"/>
              <w:left w:val="single" w:color="000000" w:sz="12"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548" w:type="dxa"/>
            <w:tcBorders>
              <w:top w:val="single" w:color="000000" w:sz="6"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eastAsia="zh-CN"/>
              </w:rPr>
              <w:t>岸线防护</w:t>
            </w:r>
            <w:r>
              <w:rPr>
                <w:rFonts w:hint="eastAsia" w:ascii="仿宋" w:hAnsi="仿宋" w:eastAsia="仿宋" w:cs="仿宋"/>
                <w:color w:val="auto"/>
                <w:sz w:val="24"/>
                <w:szCs w:val="24"/>
              </w:rPr>
              <w:t>围油栏</w:t>
            </w:r>
          </w:p>
        </w:tc>
        <w:tc>
          <w:tcPr>
            <w:tcW w:w="1102" w:type="dxa"/>
            <w:tcBorders>
              <w:top w:val="single" w:color="000000" w:sz="6"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WGV</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00</w:t>
            </w:r>
          </w:p>
        </w:tc>
        <w:tc>
          <w:tcPr>
            <w:tcW w:w="1020" w:type="dxa"/>
            <w:tcBorders>
              <w:top w:val="single" w:color="000000" w:sz="6"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00米</w:t>
            </w:r>
          </w:p>
        </w:tc>
        <w:tc>
          <w:tcPr>
            <w:tcW w:w="1050" w:type="dxa"/>
            <w:tcBorders>
              <w:top w:val="single" w:color="000000" w:sz="6"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青岛</w:t>
            </w:r>
          </w:p>
          <w:p>
            <w:pPr>
              <w:spacing w:line="240" w:lineRule="auto"/>
              <w:jc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华海</w:t>
            </w:r>
          </w:p>
        </w:tc>
        <w:tc>
          <w:tcPr>
            <w:tcW w:w="2888" w:type="dxa"/>
            <w:tcBorders>
              <w:top w:val="single" w:color="000000" w:sz="6" w:space="0"/>
              <w:left w:val="single" w:color="000000" w:sz="6" w:space="0"/>
              <w:bottom w:val="single" w:color="000000" w:sz="6" w:space="0"/>
              <w:right w:val="single" w:color="000000" w:sz="12" w:space="0"/>
            </w:tcBorders>
            <w:noWrap w:val="0"/>
            <w:vAlign w:val="center"/>
          </w:tcPr>
          <w:p>
            <w:pPr>
              <w:numPr>
                <w:ilvl w:val="0"/>
                <w:numId w:val="0"/>
              </w:numPr>
              <w:tabs>
                <w:tab w:val="left" w:pos="296"/>
              </w:tabs>
              <w:spacing w:line="240" w:lineRule="auto"/>
              <w:ind w:leftChars="0" w:right="0" w:rightChars="0"/>
              <w:rPr>
                <w:rFonts w:hint="eastAsia" w:ascii="仿宋" w:hAnsi="仿宋" w:eastAsia="仿宋" w:cs="仿宋"/>
                <w:color w:val="auto"/>
                <w:sz w:val="24"/>
                <w:szCs w:val="24"/>
              </w:rPr>
            </w:pP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主要用于非开阔水域</w:t>
            </w:r>
          </w:p>
          <w:p>
            <w:pPr>
              <w:numPr>
                <w:ilvl w:val="0"/>
                <w:numId w:val="0"/>
              </w:numPr>
              <w:tabs>
                <w:tab w:val="left" w:pos="296"/>
              </w:tabs>
              <w:spacing w:line="240" w:lineRule="auto"/>
              <w:ind w:leftChars="0" w:right="0" w:rightChars="0"/>
              <w:rPr>
                <w:rFonts w:hint="eastAsia" w:ascii="仿宋" w:hAnsi="仿宋" w:eastAsia="仿宋" w:cs="仿宋"/>
                <w:color w:val="auto"/>
                <w:sz w:val="24"/>
                <w:szCs w:val="24"/>
              </w:rPr>
            </w:pP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耐最大波高0.5m</w:t>
            </w:r>
          </w:p>
          <w:p>
            <w:pPr>
              <w:numPr>
                <w:ilvl w:val="0"/>
                <w:numId w:val="0"/>
              </w:numPr>
              <w:tabs>
                <w:tab w:val="left" w:pos="296"/>
              </w:tabs>
              <w:spacing w:line="240" w:lineRule="auto"/>
              <w:ind w:leftChars="0" w:right="0" w:rightChars="0"/>
              <w:rPr>
                <w:rFonts w:hint="eastAsia" w:ascii="仿宋" w:hAnsi="仿宋" w:eastAsia="仿宋" w:cs="仿宋"/>
                <w:color w:val="auto"/>
                <w:sz w:val="24"/>
                <w:szCs w:val="24"/>
              </w:rPr>
            </w:pP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耐最大风速8m/s</w:t>
            </w:r>
          </w:p>
          <w:p>
            <w:pPr>
              <w:numPr>
                <w:ilvl w:val="0"/>
                <w:numId w:val="0"/>
              </w:numPr>
              <w:tabs>
                <w:tab w:val="left" w:pos="296"/>
              </w:tabs>
              <w:spacing w:line="240" w:lineRule="auto"/>
              <w:ind w:leftChars="0" w:right="0" w:rightChars="0"/>
              <w:rPr>
                <w:rFonts w:hint="eastAsia" w:ascii="仿宋" w:hAnsi="仿宋" w:eastAsia="仿宋" w:cs="仿宋"/>
                <w:color w:val="auto"/>
                <w:sz w:val="24"/>
                <w:szCs w:val="24"/>
              </w:rPr>
            </w:pP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耐最大流速1Knot</w:t>
            </w:r>
          </w:p>
          <w:p>
            <w:pPr>
              <w:numPr>
                <w:ilvl w:val="0"/>
                <w:numId w:val="0"/>
              </w:numPr>
              <w:tabs>
                <w:tab w:val="left" w:pos="296"/>
              </w:tabs>
              <w:spacing w:line="240" w:lineRule="auto"/>
              <w:ind w:leftChars="0" w:right="0" w:rightChars="0"/>
              <w:rPr>
                <w:rFonts w:hint="default" w:ascii="仿宋" w:hAnsi="仿宋" w:eastAsia="仿宋" w:cs="仿宋"/>
                <w:color w:val="auto"/>
                <w:sz w:val="24"/>
                <w:szCs w:val="24"/>
                <w:lang w:val="en-US"/>
              </w:rPr>
            </w:pPr>
            <w:r>
              <w:rPr>
                <w:rFonts w:hint="eastAsia" w:ascii="仿宋" w:hAnsi="仿宋" w:eastAsia="仿宋" w:cs="仿宋"/>
                <w:color w:val="auto"/>
                <w:sz w:val="24"/>
                <w:szCs w:val="24"/>
                <w:lang w:eastAsia="zh-CN"/>
              </w:rPr>
              <w:t>◆总抗拉强度</w:t>
            </w:r>
            <w:r>
              <w:rPr>
                <w:rFonts w:hint="eastAsia" w:ascii="仿宋" w:hAnsi="仿宋" w:eastAsia="仿宋" w:cs="仿宋"/>
                <w:color w:val="auto"/>
                <w:sz w:val="24"/>
                <w:szCs w:val="24"/>
                <w:lang w:val="en-US" w:eastAsia="zh-CN"/>
              </w:rPr>
              <w:t xml:space="preserve"> 20kn</w:t>
            </w:r>
          </w:p>
        </w:tc>
      </w:tr>
      <w:tr>
        <w:tblPrEx>
          <w:tblCellMar>
            <w:top w:w="0" w:type="dxa"/>
            <w:left w:w="108" w:type="dxa"/>
            <w:bottom w:w="0" w:type="dxa"/>
            <w:right w:w="108" w:type="dxa"/>
          </w:tblCellMar>
        </w:tblPrEx>
        <w:trPr>
          <w:trHeight w:val="622" w:hRule="atLeast"/>
        </w:trPr>
        <w:tc>
          <w:tcPr>
            <w:tcW w:w="710" w:type="dxa"/>
            <w:tcBorders>
              <w:top w:val="single" w:color="000000" w:sz="6" w:space="0"/>
              <w:left w:val="single" w:color="000000" w:sz="12" w:space="0"/>
              <w:bottom w:val="single" w:color="000000" w:sz="12" w:space="0"/>
              <w:right w:val="single" w:color="000000" w:sz="6" w:space="0"/>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1548" w:type="dxa"/>
            <w:tcBorders>
              <w:top w:val="single" w:color="000000" w:sz="6" w:space="0"/>
              <w:left w:val="single" w:color="000000" w:sz="6" w:space="0"/>
              <w:bottom w:val="single" w:color="000000" w:sz="12" w:space="0"/>
              <w:right w:val="single" w:color="000000" w:sz="6" w:space="0"/>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岸滩围油栏</w:t>
            </w:r>
          </w:p>
        </w:tc>
        <w:tc>
          <w:tcPr>
            <w:tcW w:w="1102" w:type="dxa"/>
            <w:tcBorders>
              <w:top w:val="single" w:color="000000" w:sz="6" w:space="0"/>
              <w:left w:val="single" w:color="000000" w:sz="6" w:space="0"/>
              <w:bottom w:val="single" w:color="000000" w:sz="12" w:space="0"/>
              <w:right w:val="single" w:color="000000" w:sz="6" w:space="0"/>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rPr>
              <w:t>W</w:t>
            </w:r>
            <w:r>
              <w:rPr>
                <w:rFonts w:hint="eastAsia" w:ascii="仿宋" w:hAnsi="仿宋" w:eastAsia="仿宋" w:cs="仿宋"/>
                <w:color w:val="auto"/>
                <w:sz w:val="24"/>
                <w:szCs w:val="24"/>
                <w:lang w:val="en-US" w:eastAsia="zh-CN"/>
              </w:rPr>
              <w:t>QV</w:t>
            </w:r>
            <w:r>
              <w:rPr>
                <w:rFonts w:hint="eastAsia" w:ascii="仿宋" w:hAnsi="仿宋" w:eastAsia="仿宋" w:cs="仿宋"/>
                <w:color w:val="auto"/>
                <w:sz w:val="24"/>
                <w:szCs w:val="24"/>
              </w:rPr>
              <w:t>600</w:t>
            </w:r>
            <w:r>
              <w:rPr>
                <w:rFonts w:hint="eastAsia" w:ascii="仿宋" w:hAnsi="仿宋" w:eastAsia="仿宋" w:cs="仿宋"/>
                <w:color w:val="auto"/>
                <w:sz w:val="24"/>
                <w:szCs w:val="24"/>
                <w:lang w:val="en-US" w:eastAsia="zh-CN"/>
              </w:rPr>
              <w:t>T</w:t>
            </w:r>
          </w:p>
        </w:tc>
        <w:tc>
          <w:tcPr>
            <w:tcW w:w="1020" w:type="dxa"/>
            <w:tcBorders>
              <w:top w:val="single" w:color="000000" w:sz="6" w:space="0"/>
              <w:left w:val="single" w:color="000000" w:sz="6" w:space="0"/>
              <w:bottom w:val="single" w:color="000000" w:sz="12" w:space="0"/>
              <w:right w:val="single" w:color="000000" w:sz="6" w:space="0"/>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600</w:t>
            </w:r>
            <w:r>
              <w:rPr>
                <w:rFonts w:hint="eastAsia" w:ascii="仿宋" w:hAnsi="仿宋" w:eastAsia="仿宋" w:cs="仿宋"/>
                <w:color w:val="auto"/>
                <w:sz w:val="24"/>
                <w:szCs w:val="24"/>
              </w:rPr>
              <w:t>米</w:t>
            </w:r>
          </w:p>
        </w:tc>
        <w:tc>
          <w:tcPr>
            <w:tcW w:w="1050" w:type="dxa"/>
            <w:tcBorders>
              <w:top w:val="single" w:color="000000" w:sz="6" w:space="0"/>
              <w:left w:val="single" w:color="000000" w:sz="6" w:space="0"/>
              <w:bottom w:val="single" w:color="000000" w:sz="12" w:space="0"/>
              <w:right w:val="single" w:color="000000" w:sz="6" w:space="0"/>
            </w:tcBorders>
            <w:noWrap w:val="0"/>
            <w:vAlign w:val="center"/>
          </w:tcPr>
          <w:p>
            <w:pPr>
              <w:spacing w:line="240" w:lineRule="auto"/>
              <w:jc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青岛</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eastAsia="zh-CN"/>
              </w:rPr>
              <w:t>华海</w:t>
            </w:r>
          </w:p>
        </w:tc>
        <w:tc>
          <w:tcPr>
            <w:tcW w:w="2888" w:type="dxa"/>
            <w:tcBorders>
              <w:top w:val="single" w:color="000000" w:sz="6" w:space="0"/>
              <w:left w:val="single" w:color="000000" w:sz="6" w:space="0"/>
              <w:bottom w:val="single" w:color="000000" w:sz="12" w:space="0"/>
              <w:right w:val="single" w:color="000000" w:sz="12" w:space="0"/>
            </w:tcBorders>
            <w:noWrap w:val="0"/>
            <w:vAlign w:val="center"/>
          </w:tcPr>
          <w:p>
            <w:pPr>
              <w:pStyle w:val="2"/>
              <w:bidi w:val="0"/>
              <w:spacing w:line="240" w:lineRule="auto"/>
              <w:ind w:left="0" w:leftChars="0" w:firstLine="0" w:firstLineChars="0"/>
              <w:rPr>
                <w:rFonts w:hint="eastAsia" w:ascii="仿宋" w:hAnsi="仿宋" w:eastAsia="仿宋" w:cs="仿宋"/>
                <w:b w:val="0"/>
                <w:bCs w:val="0"/>
                <w:color w:val="auto"/>
                <w:sz w:val="24"/>
                <w:szCs w:val="24"/>
              </w:rPr>
            </w:pPr>
            <w:bookmarkStart w:id="53" w:name="_Toc21882"/>
            <w:r>
              <w:rPr>
                <w:rFonts w:hint="eastAsia" w:ascii="仿宋" w:hAnsi="仿宋" w:eastAsia="仿宋" w:cs="仿宋"/>
                <w:b w:val="0"/>
                <w:bCs w:val="0"/>
                <w:color w:val="auto"/>
                <w:sz w:val="24"/>
                <w:szCs w:val="24"/>
              </w:rPr>
              <w:t>主要防止溢油在岸滩上</w:t>
            </w:r>
            <w:r>
              <w:rPr>
                <w:rFonts w:hint="eastAsia" w:ascii="仿宋" w:hAnsi="仿宋" w:eastAsia="仿宋" w:cs="仿宋"/>
                <w:b w:val="0"/>
                <w:bCs w:val="0"/>
                <w:color w:val="auto"/>
                <w:sz w:val="24"/>
                <w:szCs w:val="24"/>
                <w:lang w:eastAsia="zh-CN"/>
              </w:rPr>
              <w:t>外</w:t>
            </w:r>
            <w:r>
              <w:rPr>
                <w:rFonts w:hint="eastAsia" w:ascii="仿宋" w:hAnsi="仿宋" w:eastAsia="仿宋" w:cs="仿宋"/>
                <w:b w:val="0"/>
                <w:bCs w:val="0"/>
                <w:color w:val="auto"/>
                <w:sz w:val="24"/>
                <w:szCs w:val="24"/>
              </w:rPr>
              <w:t>溢，可用于应急性布放</w:t>
            </w:r>
            <w:bookmarkEnd w:id="53"/>
          </w:p>
          <w:p>
            <w:pPr>
              <w:numPr>
                <w:ilvl w:val="0"/>
                <w:numId w:val="0"/>
              </w:numPr>
              <w:tabs>
                <w:tab w:val="left" w:pos="296"/>
              </w:tabs>
              <w:spacing w:line="240" w:lineRule="auto"/>
              <w:ind w:left="240" w:leftChars="0" w:right="0" w:rightChars="0" w:hanging="240" w:hangingChars="100"/>
              <w:jc w:val="left"/>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eastAsia="zh-CN"/>
              </w:rPr>
              <w:t>◆总抗拉强度</w:t>
            </w:r>
            <w:r>
              <w:rPr>
                <w:rFonts w:hint="eastAsia" w:ascii="仿宋" w:hAnsi="仿宋" w:eastAsia="仿宋" w:cs="仿宋"/>
                <w:color w:val="auto"/>
                <w:sz w:val="24"/>
                <w:szCs w:val="24"/>
                <w:lang w:val="en-US" w:eastAsia="zh-CN"/>
              </w:rPr>
              <w:t xml:space="preserve"> 25kn</w:t>
            </w:r>
          </w:p>
        </w:tc>
      </w:tr>
    </w:tbl>
    <w:p>
      <w:pPr>
        <w:spacing w:line="480" w:lineRule="exact"/>
        <w:rPr>
          <w:rFonts w:hint="eastAsia" w:ascii="仿宋" w:hAnsi="仿宋" w:eastAsia="仿宋" w:cs="仿宋"/>
          <w:color w:val="auto"/>
          <w:sz w:val="28"/>
          <w:szCs w:val="28"/>
        </w:rPr>
      </w:pPr>
    </w:p>
    <w:p>
      <w:pPr>
        <w:spacing w:line="360" w:lineRule="auto"/>
        <w:ind w:firstLine="562" w:firstLineChars="200"/>
        <w:jc w:val="both"/>
        <w:rPr>
          <w:rFonts w:hint="eastAsia" w:ascii="仿宋" w:hAnsi="仿宋" w:eastAsia="仿宋" w:cs="仿宋"/>
          <w:b/>
          <w:bCs/>
          <w:color w:val="auto"/>
          <w:sz w:val="28"/>
          <w:szCs w:val="28"/>
        </w:rPr>
      </w:pPr>
      <w:bookmarkStart w:id="54" w:name="_Toc309251340"/>
      <w:bookmarkEnd w:id="54"/>
      <w:r>
        <w:rPr>
          <w:rFonts w:hint="eastAsia" w:ascii="仿宋" w:hAnsi="仿宋" w:eastAsia="仿宋" w:cs="仿宋"/>
          <w:b/>
          <w:bCs/>
          <w:color w:val="auto"/>
          <w:sz w:val="28"/>
          <w:szCs w:val="28"/>
          <w:lang w:val="en-US" w:eastAsia="zh-CN"/>
        </w:rPr>
        <w:t>5</w:t>
      </w:r>
      <w:r>
        <w:rPr>
          <w:rFonts w:hint="eastAsia" w:ascii="仿宋" w:hAnsi="仿宋" w:eastAsia="仿宋" w:cs="仿宋"/>
          <w:b/>
          <w:bCs/>
          <w:color w:val="auto"/>
          <w:sz w:val="28"/>
          <w:szCs w:val="28"/>
        </w:rPr>
        <w:t>.1.2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不同类型岸线的相对敏感性</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当受溢油威胁的岸线范围较大，则很难对受威胁的岸线全部保护，需要根据岸线的敏感指数（ESI）来考虑优先保护次序。表</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-2为不同类型岸线的相对敏感性。</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5</w:t>
      </w:r>
      <w:r>
        <w:rPr>
          <w:rFonts w:hint="eastAsia" w:ascii="仿宋" w:hAnsi="仿宋" w:eastAsia="仿宋" w:cs="仿宋"/>
          <w:b/>
          <w:color w:val="auto"/>
          <w:sz w:val="28"/>
          <w:szCs w:val="28"/>
        </w:rPr>
        <w:t>-2 不同类型岸线的相对敏感性</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20"/>
        <w:gridCol w:w="1356"/>
        <w:gridCol w:w="2097"/>
        <w:gridCol w:w="473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2200" w:type="dxa"/>
            <w:gridSpan w:val="2"/>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相对敏感性</w:t>
            </w:r>
          </w:p>
        </w:tc>
        <w:tc>
          <w:tcPr>
            <w:tcW w:w="2120" w:type="dxa"/>
            <w:vMerge w:val="restart"/>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岸线类型</w:t>
            </w:r>
          </w:p>
        </w:tc>
        <w:tc>
          <w:tcPr>
            <w:tcW w:w="4783" w:type="dxa"/>
            <w:vMerge w:val="restart"/>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说明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29" w:type="dxa"/>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等级</w:t>
            </w: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敏感指数</w:t>
            </w:r>
          </w:p>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（ESI）</w:t>
            </w:r>
          </w:p>
        </w:tc>
        <w:tc>
          <w:tcPr>
            <w:tcW w:w="2120" w:type="dxa"/>
            <w:vMerge w:val="continue"/>
            <w:tcBorders>
              <w:tl2br w:val="nil"/>
              <w:tr2bl w:val="nil"/>
            </w:tcBorders>
            <w:noWrap w:val="0"/>
            <w:vAlign w:val="center"/>
          </w:tcPr>
          <w:p>
            <w:pPr>
              <w:widowControl w:val="0"/>
              <w:spacing w:line="240" w:lineRule="auto"/>
              <w:rPr>
                <w:rFonts w:hint="eastAsia" w:ascii="仿宋" w:hAnsi="仿宋" w:eastAsia="仿宋" w:cs="仿宋"/>
                <w:b/>
                <w:color w:val="auto"/>
                <w:sz w:val="24"/>
                <w:szCs w:val="24"/>
              </w:rPr>
            </w:pPr>
          </w:p>
        </w:tc>
        <w:tc>
          <w:tcPr>
            <w:tcW w:w="4783" w:type="dxa"/>
            <w:vMerge w:val="continue"/>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restart"/>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120" w:type="dxa"/>
            <w:tcBorders>
              <w:tl2br w:val="nil"/>
              <w:tr2bl w:val="nil"/>
            </w:tcBorders>
            <w:noWrap w:val="0"/>
            <w:vAlign w:val="center"/>
          </w:tcPr>
          <w:p>
            <w:pPr>
              <w:widowControl w:val="0"/>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暴露的岩石海岸和垂直坚硬的人工构筑物</w:t>
            </w:r>
          </w:p>
        </w:tc>
        <w:tc>
          <w:tcPr>
            <w:tcW w:w="4783" w:type="dxa"/>
            <w:tcBorders>
              <w:tl2br w:val="nil"/>
              <w:tr2bl w:val="nil"/>
            </w:tcBorders>
            <w:noWrap w:val="0"/>
            <w:vAlign w:val="center"/>
          </w:tcPr>
          <w:p>
            <w:pPr>
              <w:widowControl w:val="0"/>
              <w:numPr>
                <w:ilvl w:val="0"/>
                <w:numId w:val="3"/>
              </w:numPr>
              <w:tabs>
                <w:tab w:val="left" w:pos="176"/>
              </w:tabs>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波浪反射作用有助于油离岸</w:t>
            </w:r>
          </w:p>
          <w:p>
            <w:pPr>
              <w:widowControl w:val="0"/>
              <w:numPr>
                <w:ilvl w:val="0"/>
                <w:numId w:val="3"/>
              </w:numPr>
              <w:tabs>
                <w:tab w:val="left" w:pos="176"/>
              </w:tabs>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不需要清除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94" w:hRule="atLeas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暴露的岩石平台</w:t>
            </w:r>
          </w:p>
        </w:tc>
        <w:tc>
          <w:tcPr>
            <w:tcW w:w="4783" w:type="dxa"/>
            <w:tcBorders>
              <w:tl2br w:val="nil"/>
              <w:tr2bl w:val="nil"/>
            </w:tcBorders>
            <w:noWrap w:val="0"/>
            <w:vAlign w:val="center"/>
          </w:tcPr>
          <w:p>
            <w:pPr>
              <w:widowControl w:val="0"/>
              <w:numPr>
                <w:ilvl w:val="0"/>
                <w:numId w:val="3"/>
              </w:numPr>
              <w:tabs>
                <w:tab w:val="left" w:pos="176"/>
              </w:tabs>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波浪掠过，浸蚀</w:t>
            </w:r>
          </w:p>
          <w:p>
            <w:pPr>
              <w:widowControl w:val="0"/>
              <w:numPr>
                <w:ilvl w:val="0"/>
                <w:numId w:val="3"/>
              </w:numPr>
              <w:tabs>
                <w:tab w:val="left" w:pos="176"/>
              </w:tabs>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在几周内油可自然地除去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1239" w:hRule="atLeast"/>
          <w:jc w:val="center"/>
        </w:trPr>
        <w:tc>
          <w:tcPr>
            <w:tcW w:w="829" w:type="dxa"/>
            <w:vMerge w:val="restart"/>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3</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细沙滩</w:t>
            </w:r>
          </w:p>
        </w:tc>
        <w:tc>
          <w:tcPr>
            <w:tcW w:w="4783" w:type="dxa"/>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低生物量受影响</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油不渗入海滩</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用机械方法清除有效</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在1～2个月内油可自然地除去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77" w:hRule="atLeas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4</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中、粗粒沙滩</w:t>
            </w:r>
          </w:p>
        </w:tc>
        <w:tc>
          <w:tcPr>
            <w:tcW w:w="4783" w:type="dxa"/>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低生物量受影响</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油可能渗入海滩或迅速地被掩埋，不易清除</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大多数油需经数个月后才自然地除去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02" w:hRule="atLeas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5A</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沙和砾石混合滩</w:t>
            </w:r>
          </w:p>
        </w:tc>
        <w:tc>
          <w:tcPr>
            <w:tcW w:w="4783" w:type="dxa"/>
            <w:vMerge w:val="restart"/>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低生物量受影响</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易移动的沉积物</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大部分油不渗入沉积物</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大约一年油可自然地除去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5B</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人工充填海岸</w:t>
            </w:r>
          </w:p>
        </w:tc>
        <w:tc>
          <w:tcPr>
            <w:tcW w:w="4783" w:type="dxa"/>
            <w:vMerge w:val="continue"/>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6A</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砾石滩</w:t>
            </w:r>
          </w:p>
        </w:tc>
        <w:tc>
          <w:tcPr>
            <w:tcW w:w="4783" w:type="dxa"/>
            <w:vMerge w:val="restart"/>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油迅速地渗入海滩、不易清除</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清除应集中在高潮汐冲溅区</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在掩蔽处油可能要存留数年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42" w:hRule="atLeas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6B</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防冲乱石砌岸线</w:t>
            </w:r>
          </w:p>
        </w:tc>
        <w:tc>
          <w:tcPr>
            <w:tcW w:w="4783" w:type="dxa"/>
            <w:vMerge w:val="continue"/>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7</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暴露的潮间带</w:t>
            </w:r>
          </w:p>
        </w:tc>
        <w:tc>
          <w:tcPr>
            <w:tcW w:w="4783" w:type="dxa"/>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中等生物量受影响</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沉积物较少移动</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大部分油不渗入沉积物</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油可能存留约一年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8</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掩蔽的岩石海岸和沿岸人工构筑物</w:t>
            </w:r>
          </w:p>
        </w:tc>
        <w:tc>
          <w:tcPr>
            <w:tcW w:w="4783" w:type="dxa"/>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中等到高生物量受影响</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该地区波浪作用较少</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油可能损害中间潮汐地带</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油可能存留多年</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必须除去聚集的重质油</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需优先保护和清除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restart"/>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9</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掩蔽的潮间带</w:t>
            </w:r>
          </w:p>
        </w:tc>
        <w:tc>
          <w:tcPr>
            <w:tcW w:w="4783" w:type="dxa"/>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高生物量受影响</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波浪作用极少</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油可能存留多年</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必须除去累积的重质油；不推荐清除</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需优先保护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10</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沼泽地、红树林</w:t>
            </w:r>
          </w:p>
        </w:tc>
        <w:tc>
          <w:tcPr>
            <w:tcW w:w="4783" w:type="dxa"/>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肥沃的水栖息动植物环境</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非常低的潮汐能量</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高沉降速度将油带入沉积物中</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油可能存留多年</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清除的损害可能要比让油留下自然降解的损害大</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用分散剂或清洁剂比用机械清除更有益</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该地区应接受最优先保护</w:t>
            </w:r>
          </w:p>
        </w:tc>
      </w:tr>
    </w:tbl>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注意：</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4"/>
          <w:szCs w:val="24"/>
          <w:lang w:eastAsia="zh-CN"/>
        </w:rPr>
        <w:t>◆</w:t>
      </w:r>
      <w:r>
        <w:rPr>
          <w:rFonts w:hint="eastAsia" w:ascii="仿宋" w:hAnsi="仿宋" w:eastAsia="仿宋" w:cs="仿宋"/>
          <w:color w:val="auto"/>
          <w:sz w:val="28"/>
          <w:szCs w:val="28"/>
        </w:rPr>
        <w:t>对于敏感性高需要优先保护的岸线，可预先采取保护措施以尽量减轻溢油对它的污染。</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由于岸线清除工作量很大，在一时人力物力不足的情况下，可按岸线的相对敏感性排列一下清除作业的先后次序，对敏感性高的岸线优先清除。</w:t>
      </w:r>
    </w:p>
    <w:p>
      <w:pPr>
        <w:spacing w:line="360" w:lineRule="auto"/>
        <w:ind w:firstLine="560" w:firstLineChars="200"/>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沙滩为中敏感性岸线，在夏天旅游季节则为高敏感性，应最优先保护</w:t>
      </w:r>
      <w:r>
        <w:rPr>
          <w:rFonts w:hint="eastAsia" w:ascii="仿宋" w:hAnsi="仿宋" w:eastAsia="仿宋" w:cs="仿宋"/>
          <w:color w:val="auto"/>
          <w:sz w:val="28"/>
          <w:szCs w:val="28"/>
          <w:lang w:eastAsia="zh-CN"/>
        </w:rPr>
        <w:t>。</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在ESI为1的低敏感性岸线，在海鸟孵卵季节就为高敏感性，应优先保护。</w:t>
      </w:r>
    </w:p>
    <w:p>
      <w:pPr>
        <w:spacing w:line="360" w:lineRule="auto"/>
        <w:ind w:firstLine="562" w:firstLineChars="200"/>
        <w:jc w:val="both"/>
        <w:rPr>
          <w:rFonts w:hint="eastAsia" w:ascii="仿宋" w:hAnsi="仿宋" w:eastAsia="仿宋" w:cs="仿宋"/>
          <w:b/>
          <w:bCs/>
          <w:color w:val="auto"/>
          <w:sz w:val="28"/>
          <w:szCs w:val="28"/>
        </w:rPr>
      </w:pPr>
      <w:bookmarkStart w:id="55" w:name="_Toc4756"/>
      <w:r>
        <w:rPr>
          <w:rFonts w:hint="eastAsia" w:ascii="仿宋" w:hAnsi="仿宋" w:eastAsia="仿宋" w:cs="仿宋"/>
          <w:b/>
          <w:bCs/>
          <w:color w:val="auto"/>
          <w:sz w:val="28"/>
          <w:szCs w:val="28"/>
          <w:lang w:val="en-US" w:eastAsia="zh-CN"/>
        </w:rPr>
        <w:t>5</w:t>
      </w:r>
      <w:r>
        <w:rPr>
          <w:rFonts w:hint="eastAsia" w:ascii="仿宋" w:hAnsi="仿宋" w:eastAsia="仿宋" w:cs="仿宋"/>
          <w:b/>
          <w:bCs/>
          <w:color w:val="auto"/>
          <w:sz w:val="28"/>
          <w:szCs w:val="28"/>
        </w:rPr>
        <w:t>.1.3</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岸线围护方案</w:t>
      </w:r>
      <w:bookmarkEnd w:id="55"/>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为保护岸线应在溢油事故发生后立即进行海上清除作业以防止溢油扩散污染岸线，并根据溢油运移动向对可能会受到溢油威胁的岸线和敏感区采取保护措施。岸线围护方案如下：</w:t>
      </w:r>
    </w:p>
    <w:p>
      <w:pPr>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（1）隔离围栏</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隔离围栏</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，围油栏横跨或围绕敏感区并用锚将围油栏固顶，逼近的油被围油栏转移并聚集后用撇油器或吸油材料等将油回收。隔离围栏用来保护水流小于1节、破碎浪小于0.5 m的小海湾、港湾入口、河流或支流出入口。</w:t>
      </w:r>
    </w:p>
    <w:p>
      <w:pPr>
        <w:keepLines w:val="0"/>
        <w:pageBreakBefore w:val="0"/>
        <w:widowControl/>
        <w:kinsoku/>
        <w:wordWrap/>
        <w:overflowPunct/>
        <w:topLinePunct w:val="0"/>
        <w:autoSpaceDE/>
        <w:autoSpaceDN/>
        <w:bidi w:val="0"/>
        <w:adjustRightInd/>
        <w:snapToGrid/>
        <w:spacing w:line="240" w:lineRule="auto"/>
        <w:ind w:firstLine="560" w:firstLineChars="200"/>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058160" cy="1661795"/>
            <wp:effectExtent l="0" t="0" r="8890" b="14605"/>
            <wp:docPr id="6" name="图片 6"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3"/>
                    <pic:cNvPicPr>
                      <a:picLocks noChangeAspect="1"/>
                    </pic:cNvPicPr>
                  </pic:nvPicPr>
                  <pic:blipFill>
                    <a:blip r:embed="rId17"/>
                    <a:stretch>
                      <a:fillRect/>
                    </a:stretch>
                  </pic:blipFill>
                  <pic:spPr>
                    <a:xfrm>
                      <a:off x="0" y="0"/>
                      <a:ext cx="3058160" cy="166179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1</w:t>
      </w:r>
      <w:r>
        <w:rPr>
          <w:rFonts w:hint="eastAsia" w:ascii="仿宋" w:hAnsi="仿宋" w:eastAsia="仿宋" w:cs="仿宋"/>
          <w:b/>
          <w:color w:val="auto"/>
          <w:sz w:val="24"/>
          <w:szCs w:val="24"/>
        </w:rPr>
        <w:t xml:space="preserve"> 隔离围栏</w:t>
      </w:r>
    </w:p>
    <w:p>
      <w:pPr>
        <w:keepNext w:val="0"/>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（2）转移围栏</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转移围栏</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，围油栏的铺设与逼近的油膜成一定的角度。油被围油栏从敏感区转移至低敏感区，并将油聚集后用撇油器回收。转移围栏主要用来保护连续岸线的特定地点，破碎浪小于0.5 m。也可用来保护流速大于1节的小海湾、港湾入口、河流或支流的出入口。</w:t>
      </w:r>
    </w:p>
    <w:p>
      <w:pPr>
        <w:spacing w:before="120" w:after="120" w:line="360" w:lineRule="auto"/>
        <w:ind w:left="280" w:hanging="280" w:hangingChars="100"/>
        <w:jc w:val="center"/>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eastAsia="zh-CN"/>
        </w:rPr>
        <w:drawing>
          <wp:inline distT="0" distB="0" distL="114300" distR="114300">
            <wp:extent cx="3067685" cy="1684655"/>
            <wp:effectExtent l="0" t="0" r="18415" b="10795"/>
            <wp:docPr id="7" name="图片 7"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4"/>
                    <pic:cNvPicPr>
                      <a:picLocks noChangeAspect="1"/>
                    </pic:cNvPicPr>
                  </pic:nvPicPr>
                  <pic:blipFill>
                    <a:blip r:embed="rId18"/>
                    <a:stretch>
                      <a:fillRect/>
                    </a:stretch>
                  </pic:blipFill>
                  <pic:spPr>
                    <a:xfrm>
                      <a:off x="0" y="0"/>
                      <a:ext cx="3067685" cy="1684655"/>
                    </a:xfrm>
                    <a:prstGeom prst="rect">
                      <a:avLst/>
                    </a:prstGeom>
                  </pic:spPr>
                </pic:pic>
              </a:graphicData>
            </a:graphic>
          </wp:inline>
        </w:drawing>
      </w:r>
      <w:r>
        <w:rPr>
          <w:rFonts w:hint="eastAsia" w:ascii="仿宋" w:hAnsi="仿宋" w:eastAsia="仿宋" w:cs="仿宋"/>
          <w:color w:val="auto"/>
          <w:sz w:val="28"/>
          <w:szCs w:val="28"/>
          <w:lang w:val="en-US" w:eastAsia="zh-CN"/>
        </w:rPr>
        <w:t xml:space="preserve">                </w:t>
      </w:r>
    </w:p>
    <w:p>
      <w:pPr>
        <w:spacing w:before="120" w:after="120" w:line="360" w:lineRule="auto"/>
        <w:ind w:left="280" w:hanging="280" w:hangingChars="100"/>
        <w:jc w:val="center"/>
        <w:rPr>
          <w:rFonts w:hint="eastAsia" w:ascii="仿宋" w:hAnsi="仿宋" w:eastAsia="仿宋" w:cs="仿宋"/>
          <w:b/>
          <w:color w:val="auto"/>
          <w:sz w:val="28"/>
          <w:szCs w:val="28"/>
        </w:rPr>
      </w:pPr>
      <w:r>
        <w:rPr>
          <w:rFonts w:hint="eastAsia" w:ascii="仿宋" w:hAnsi="仿宋" w:eastAsia="仿宋" w:cs="仿宋"/>
          <w:color w:val="auto"/>
          <w:sz w:val="28"/>
          <w:szCs w:val="28"/>
          <w:lang w:val="en-US" w:eastAsia="zh-CN"/>
        </w:rPr>
        <w:t xml:space="preserve"> </w:t>
      </w: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2</w:t>
      </w:r>
      <w:r>
        <w:rPr>
          <w:rFonts w:hint="eastAsia" w:ascii="仿宋" w:hAnsi="仿宋" w:eastAsia="仿宋" w:cs="仿宋"/>
          <w:b/>
          <w:color w:val="auto"/>
          <w:sz w:val="24"/>
          <w:szCs w:val="24"/>
        </w:rPr>
        <w:t xml:space="preserve"> 转移围栏</w:t>
      </w:r>
    </w:p>
    <w:p>
      <w:pPr>
        <w:spacing w:line="360" w:lineRule="auto"/>
        <w:ind w:firstLine="482"/>
        <w:jc w:val="both"/>
        <w:rPr>
          <w:rFonts w:hint="eastAsia" w:ascii="仿宋" w:hAnsi="仿宋" w:eastAsia="仿宋" w:cs="仿宋"/>
          <w:b/>
          <w:color w:val="auto"/>
          <w:sz w:val="28"/>
          <w:szCs w:val="28"/>
        </w:rPr>
      </w:pPr>
      <w:r>
        <w:rPr>
          <w:rFonts w:hint="eastAsia" w:ascii="仿宋" w:hAnsi="仿宋" w:eastAsia="仿宋" w:cs="仿宋"/>
          <w:b/>
          <w:color w:val="auto"/>
          <w:sz w:val="28"/>
          <w:szCs w:val="28"/>
        </w:rPr>
        <w:t>（3）拦截围栏</w:t>
      </w:r>
    </w:p>
    <w:p>
      <w:pPr>
        <w:spacing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rPr>
        <w:t>拦截围栏（岸线栅栏）是专为保护岸线的围油栏，以保护潮汐区泥砂洼地的岸线</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-3。岸线栅栏通常由三个软管结合在一起组成，敷设时下部两个软管满水，上部第三根软管则充满空气以提供足够的浮力。岸线栅栏随潮汐涨落浮在水中或紧密地搁置在岸滩上，不适用于岩石岸线。</w:t>
      </w:r>
    </w:p>
    <w:p>
      <w:pPr>
        <w:spacing w:line="360" w:lineRule="auto"/>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628390" cy="1673860"/>
            <wp:effectExtent l="0" t="0" r="10160" b="2540"/>
            <wp:docPr id="8" name="图片 8"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片5"/>
                    <pic:cNvPicPr>
                      <a:picLocks noChangeAspect="1"/>
                    </pic:cNvPicPr>
                  </pic:nvPicPr>
                  <pic:blipFill>
                    <a:blip r:embed="rId19"/>
                    <a:stretch>
                      <a:fillRect/>
                    </a:stretch>
                  </pic:blipFill>
                  <pic:spPr>
                    <a:xfrm>
                      <a:off x="0" y="0"/>
                      <a:ext cx="3628390" cy="167386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3</w:t>
      </w:r>
      <w:r>
        <w:rPr>
          <w:rFonts w:hint="eastAsia" w:ascii="仿宋" w:hAnsi="仿宋" w:eastAsia="仿宋" w:cs="仿宋"/>
          <w:b/>
          <w:color w:val="auto"/>
          <w:sz w:val="24"/>
          <w:szCs w:val="24"/>
        </w:rPr>
        <w:t xml:space="preserve"> 拦截围栏</w:t>
      </w:r>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color w:val="auto"/>
          <w:sz w:val="28"/>
          <w:szCs w:val="28"/>
        </w:rPr>
      </w:pPr>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（4）吸附围栏</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吸附围栏是栅栏形吸油材料沿着岸线或敏感区围栏，以吸附逼近岸线或敏感区的油膜。用于水流速度低的地方收集薄层油。一旦吸油材料浸透了油需要更换并回收处理。也可采用木头、竹子、渔网、稻草、麦秸、椰子壳等材料做成的简易围油栏保护沼泽地和养殖区</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4488180" cy="1649730"/>
            <wp:effectExtent l="0" t="0" r="7620" b="7620"/>
            <wp:docPr id="9" name="图片 9" descr="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片6"/>
                    <pic:cNvPicPr>
                      <a:picLocks noChangeAspect="1"/>
                    </pic:cNvPicPr>
                  </pic:nvPicPr>
                  <pic:blipFill>
                    <a:blip r:embed="rId20"/>
                    <a:stretch>
                      <a:fillRect/>
                    </a:stretch>
                  </pic:blipFill>
                  <pic:spPr>
                    <a:xfrm>
                      <a:off x="0" y="0"/>
                      <a:ext cx="4488180" cy="164973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4</w:t>
      </w:r>
      <w:r>
        <w:rPr>
          <w:rFonts w:hint="eastAsia" w:ascii="仿宋" w:hAnsi="仿宋" w:eastAsia="仿宋" w:cs="仿宋"/>
          <w:b/>
          <w:color w:val="auto"/>
          <w:sz w:val="24"/>
          <w:szCs w:val="24"/>
        </w:rPr>
        <w:t xml:space="preserve"> 吸附围栏</w:t>
      </w:r>
    </w:p>
    <w:p>
      <w:pPr>
        <w:spacing w:line="360" w:lineRule="auto"/>
        <w:ind w:firstLine="562" w:firstLineChars="200"/>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rPr>
        <w:t>（5）滩肩围栏</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滩肩围栏</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。在砂质或砾石海滩，沿上潮间区构筑海沟或滩肩以防止沉积或附着在海滩上的油在涨潮时被冲至后海岸。滩肩的构筑可用人工方法，必要时紧急租用推土机或压路机。</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544570" cy="1365885"/>
            <wp:effectExtent l="0" t="0" r="17780" b="5715"/>
            <wp:docPr id="10" name="图片 10" descr="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片7"/>
                    <pic:cNvPicPr>
                      <a:picLocks noChangeAspect="1"/>
                    </pic:cNvPicPr>
                  </pic:nvPicPr>
                  <pic:blipFill>
                    <a:blip r:embed="rId21"/>
                    <a:stretch>
                      <a:fillRect/>
                    </a:stretch>
                  </pic:blipFill>
                  <pic:spPr>
                    <a:xfrm>
                      <a:off x="0" y="0"/>
                      <a:ext cx="3544570" cy="136588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 xml:space="preserve"> 滩肩围栏</w:t>
      </w:r>
      <w:bookmarkStart w:id="56" w:name="_Toc12788"/>
      <w:bookmarkStart w:id="57" w:name="_Toc14692"/>
    </w:p>
    <w:p>
      <w:pPr>
        <w:spacing w:line="360" w:lineRule="auto"/>
        <w:ind w:firstLine="562" w:firstLineChars="200"/>
        <w:jc w:val="both"/>
        <w:outlineLvl w:val="1"/>
        <w:rPr>
          <w:rFonts w:hint="eastAsia" w:ascii="仿宋" w:hAnsi="仿宋" w:eastAsia="仿宋" w:cs="仿宋"/>
          <w:b/>
          <w:bCs/>
          <w:color w:val="auto"/>
          <w:sz w:val="28"/>
          <w:szCs w:val="28"/>
          <w:lang w:val="en-US" w:eastAsia="zh-CN"/>
        </w:rPr>
      </w:pPr>
      <w:bookmarkStart w:id="58" w:name="_Toc5721"/>
    </w:p>
    <w:p>
      <w:pPr>
        <w:spacing w:line="360" w:lineRule="auto"/>
        <w:ind w:firstLine="562" w:firstLineChars="200"/>
        <w:jc w:val="both"/>
        <w:outlineLvl w:val="1"/>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5</w:t>
      </w:r>
      <w:r>
        <w:rPr>
          <w:rFonts w:hint="eastAsia" w:ascii="仿宋" w:hAnsi="仿宋" w:eastAsia="仿宋" w:cs="仿宋"/>
          <w:b/>
          <w:bCs/>
          <w:color w:val="auto"/>
          <w:sz w:val="28"/>
          <w:szCs w:val="28"/>
        </w:rPr>
        <w:t>.2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生态敏感区的污染清除方案</w:t>
      </w:r>
      <w:bookmarkEnd w:id="56"/>
      <w:bookmarkEnd w:id="57"/>
      <w:bookmarkEnd w:id="58"/>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对于生态敏感区，污染清除分为优先采用的、可采用的、不可行的和避免采用的几种方案</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见表</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-3，分别说明如下：</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540" w:leftChars="0" w:right="0" w:rightChars="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◆优先采用的——引起最小的生态影响</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540" w:leftChars="0" w:right="0" w:rightChars="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◆可采用的——可以采用，但能引起某些生态影响</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540" w:leftChars="0" w:right="0" w:rightChars="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◆不可行的——可能会引起严重有害的生态影响</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◆避免采用的——生态上不能接受的，通常会引起严重有害的生态影响</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5</w:t>
      </w:r>
      <w:r>
        <w:rPr>
          <w:rFonts w:hint="eastAsia" w:ascii="仿宋" w:hAnsi="仿宋" w:eastAsia="仿宋" w:cs="仿宋"/>
          <w:b/>
          <w:color w:val="auto"/>
          <w:sz w:val="28"/>
          <w:szCs w:val="28"/>
        </w:rPr>
        <w:t>-3 生态敏感区的污染清除技术方案</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54"/>
        <w:gridCol w:w="2023"/>
        <w:gridCol w:w="1924"/>
        <w:gridCol w:w="1935"/>
        <w:gridCol w:w="167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70" w:type="dxa"/>
            <w:vMerge w:val="restart"/>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敏感资源</w:t>
            </w:r>
          </w:p>
        </w:tc>
        <w:tc>
          <w:tcPr>
            <w:tcW w:w="7634" w:type="dxa"/>
            <w:gridSpan w:val="4"/>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清除技术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70" w:type="dxa"/>
            <w:vMerge w:val="continue"/>
            <w:tcBorders>
              <w:tl2br w:val="nil"/>
              <w:tr2bl w:val="nil"/>
            </w:tcBorders>
            <w:noWrap w:val="0"/>
            <w:vAlign w:val="center"/>
          </w:tcPr>
          <w:p>
            <w:pPr>
              <w:widowControl w:val="0"/>
              <w:jc w:val="center"/>
              <w:rPr>
                <w:rFonts w:hint="eastAsia" w:ascii="仿宋" w:hAnsi="仿宋" w:eastAsia="仿宋" w:cs="仿宋"/>
                <w:b/>
                <w:color w:val="auto"/>
                <w:sz w:val="24"/>
                <w:szCs w:val="24"/>
              </w:rPr>
            </w:pPr>
          </w:p>
        </w:tc>
        <w:tc>
          <w:tcPr>
            <w:tcW w:w="2045" w:type="dxa"/>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优先采用的</w:t>
            </w:r>
          </w:p>
        </w:tc>
        <w:tc>
          <w:tcPr>
            <w:tcW w:w="1945" w:type="dxa"/>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可采用的</w:t>
            </w:r>
          </w:p>
        </w:tc>
        <w:tc>
          <w:tcPr>
            <w:tcW w:w="1956" w:type="dxa"/>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不建议采用的</w:t>
            </w:r>
          </w:p>
        </w:tc>
        <w:tc>
          <w:tcPr>
            <w:tcW w:w="1688" w:type="dxa"/>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避免采用的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Borders>
              <w:tl2br w:val="nil"/>
              <w:tr2bl w:val="nil"/>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岩石潮间带</w:t>
            </w:r>
          </w:p>
        </w:tc>
        <w:tc>
          <w:tcPr>
            <w:tcW w:w="20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自然恢复</w:t>
            </w:r>
          </w:p>
        </w:tc>
        <w:tc>
          <w:tcPr>
            <w:tcW w:w="1945" w:type="dxa"/>
            <w:tcBorders>
              <w:tl2br w:val="nil"/>
              <w:tr2bl w:val="nil"/>
            </w:tcBorders>
            <w:noWrap w:val="0"/>
            <w:vAlign w:val="center"/>
          </w:tcPr>
          <w:p>
            <w:pPr>
              <w:widowControl w:val="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rPr>
              <w:t>围油栏、</w:t>
            </w:r>
            <w:r>
              <w:rPr>
                <w:rFonts w:hint="eastAsia" w:ascii="仿宋" w:hAnsi="仿宋" w:eastAsia="仿宋" w:cs="仿宋"/>
                <w:color w:val="auto"/>
                <w:sz w:val="24"/>
                <w:szCs w:val="24"/>
                <w:lang w:eastAsia="zh-CN"/>
              </w:rPr>
              <w:t>收油机</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低压冲洗</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吸油材料</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人工割除</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分散剂</w:t>
            </w:r>
          </w:p>
        </w:tc>
        <w:tc>
          <w:tcPr>
            <w:tcW w:w="1956"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高压冲洗</w:t>
            </w:r>
          </w:p>
        </w:tc>
        <w:tc>
          <w:tcPr>
            <w:tcW w:w="1688"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焚烧</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沉降剂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70" w:type="dxa"/>
            <w:tcBorders>
              <w:tl2br w:val="nil"/>
              <w:tr2bl w:val="nil"/>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软底潮间带</w:t>
            </w:r>
          </w:p>
        </w:tc>
        <w:tc>
          <w:tcPr>
            <w:tcW w:w="20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自然恢复</w:t>
            </w:r>
          </w:p>
        </w:tc>
        <w:tc>
          <w:tcPr>
            <w:tcW w:w="19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人工清除</w:t>
            </w:r>
          </w:p>
        </w:tc>
        <w:tc>
          <w:tcPr>
            <w:tcW w:w="1956"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清除底质</w:t>
            </w:r>
          </w:p>
        </w:tc>
        <w:tc>
          <w:tcPr>
            <w:tcW w:w="1688"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沉降剂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Borders>
              <w:tl2br w:val="nil"/>
              <w:tr2bl w:val="nil"/>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潮间带</w:t>
            </w:r>
          </w:p>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海草床</w:t>
            </w:r>
          </w:p>
        </w:tc>
        <w:tc>
          <w:tcPr>
            <w:tcW w:w="20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自然恢复</w:t>
            </w:r>
          </w:p>
        </w:tc>
        <w:tc>
          <w:tcPr>
            <w:tcW w:w="19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低压冲洗</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生物挽救</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分散剂</w:t>
            </w:r>
          </w:p>
        </w:tc>
        <w:tc>
          <w:tcPr>
            <w:tcW w:w="1956"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人工清除</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吸油材料</w:t>
            </w:r>
          </w:p>
        </w:tc>
        <w:tc>
          <w:tcPr>
            <w:tcW w:w="1688"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沉降剂</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清除底质</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高压冲洗</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真空/泵吸</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人工割除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Borders>
              <w:tl2br w:val="nil"/>
              <w:tr2bl w:val="nil"/>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盐碱沼泽地</w:t>
            </w:r>
          </w:p>
        </w:tc>
        <w:tc>
          <w:tcPr>
            <w:tcW w:w="2045" w:type="dxa"/>
            <w:tcBorders>
              <w:tl2br w:val="nil"/>
              <w:tr2bl w:val="nil"/>
            </w:tcBorders>
            <w:noWrap w:val="0"/>
            <w:vAlign w:val="center"/>
          </w:tcPr>
          <w:p>
            <w:pPr>
              <w:widowControl w:val="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rPr>
              <w:t>围油栏、</w:t>
            </w:r>
            <w:r>
              <w:rPr>
                <w:rFonts w:hint="eastAsia" w:ascii="仿宋" w:hAnsi="仿宋" w:eastAsia="仿宋" w:cs="仿宋"/>
                <w:color w:val="auto"/>
                <w:sz w:val="24"/>
                <w:szCs w:val="24"/>
                <w:lang w:eastAsia="zh-CN"/>
              </w:rPr>
              <w:t>收油机</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低压冲水</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加强排水</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自然恢复</w:t>
            </w:r>
          </w:p>
        </w:tc>
        <w:tc>
          <w:tcPr>
            <w:tcW w:w="19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分散剂</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吸油材料</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生物挽救</w:t>
            </w:r>
          </w:p>
        </w:tc>
        <w:tc>
          <w:tcPr>
            <w:tcW w:w="1956"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人工割除</w:t>
            </w:r>
          </w:p>
        </w:tc>
        <w:tc>
          <w:tcPr>
            <w:tcW w:w="1688"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焚烧</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高压冲洗</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人工清除</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沉降剂</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清除底质</w:t>
            </w:r>
          </w:p>
        </w:tc>
      </w:tr>
    </w:tbl>
    <w:p>
      <w:pPr>
        <w:spacing w:line="360" w:lineRule="auto"/>
        <w:ind w:firstLine="562" w:firstLineChars="200"/>
        <w:jc w:val="both"/>
        <w:outlineLvl w:val="0"/>
        <w:rPr>
          <w:rFonts w:hint="eastAsia" w:ascii="仿宋" w:hAnsi="仿宋" w:eastAsia="仿宋" w:cs="仿宋"/>
          <w:b/>
          <w:bCs/>
          <w:color w:val="auto"/>
          <w:sz w:val="28"/>
          <w:szCs w:val="28"/>
        </w:rPr>
      </w:pPr>
      <w:bookmarkStart w:id="59" w:name="_Toc29383"/>
      <w:bookmarkStart w:id="60" w:name="_Toc17834"/>
      <w:bookmarkStart w:id="61" w:name="_Toc6762"/>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海上污染物回收和清除方案</w:t>
      </w:r>
      <w:bookmarkEnd w:id="59"/>
      <w:bookmarkEnd w:id="60"/>
      <w:bookmarkEnd w:id="61"/>
    </w:p>
    <w:p>
      <w:pPr>
        <w:spacing w:line="360" w:lineRule="auto"/>
        <w:ind w:firstLine="562" w:firstLineChars="200"/>
        <w:jc w:val="both"/>
        <w:outlineLvl w:val="1"/>
        <w:rPr>
          <w:rFonts w:hint="eastAsia" w:ascii="仿宋" w:hAnsi="仿宋" w:eastAsia="仿宋" w:cs="仿宋"/>
          <w:b/>
          <w:bCs/>
          <w:color w:val="auto"/>
          <w:sz w:val="28"/>
          <w:szCs w:val="28"/>
        </w:rPr>
      </w:pPr>
      <w:bookmarkStart w:id="62" w:name="_Toc2577"/>
      <w:bookmarkStart w:id="63" w:name="_Toc6680"/>
      <w:bookmarkStart w:id="64" w:name="_Toc6492"/>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.1</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溢油围控方案</w:t>
      </w:r>
      <w:bookmarkEnd w:id="62"/>
      <w:bookmarkEnd w:id="63"/>
      <w:bookmarkEnd w:id="64"/>
    </w:p>
    <w:p>
      <w:pPr>
        <w:spacing w:line="360" w:lineRule="auto"/>
        <w:ind w:firstLine="562" w:firstLineChars="200"/>
        <w:jc w:val="both"/>
        <w:rPr>
          <w:rFonts w:hint="eastAsia" w:ascii="仿宋" w:hAnsi="仿宋" w:eastAsia="仿宋" w:cs="仿宋"/>
          <w:b/>
          <w:bCs/>
          <w:color w:val="auto"/>
          <w:sz w:val="28"/>
          <w:szCs w:val="28"/>
        </w:rPr>
      </w:pPr>
      <w:bookmarkStart w:id="65" w:name="_Toc21227"/>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.1.1</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本公司各类围油栏的配备情况</w:t>
      </w:r>
      <w:bookmarkEnd w:id="65"/>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本公司用于溢油围控的围油栏包括用于开阔水域的WGV-1500围油栏和WQJ1500充气围油栏、用于非开阔水域的WGV-900围油栏、用于岸线防护的WGV-600围油栏、用于岸滩围护的WQV-600</w:t>
      </w:r>
      <w:r>
        <w:rPr>
          <w:rFonts w:hint="eastAsia" w:ascii="仿宋" w:hAnsi="仿宋" w:eastAsia="仿宋" w:cs="仿宋"/>
          <w:color w:val="auto"/>
          <w:sz w:val="28"/>
          <w:szCs w:val="28"/>
          <w:lang w:val="en-US" w:eastAsia="zh-CN"/>
        </w:rPr>
        <w:t>T</w:t>
      </w:r>
      <w:r>
        <w:rPr>
          <w:rFonts w:hint="eastAsia" w:ascii="仿宋" w:hAnsi="仿宋" w:eastAsia="仿宋" w:cs="仿宋"/>
          <w:color w:val="auto"/>
          <w:sz w:val="28"/>
          <w:szCs w:val="28"/>
        </w:rPr>
        <w:t>围油栏，以及WGJ900H防火围油栏</w:t>
      </w:r>
      <w:r>
        <w:rPr>
          <w:rFonts w:hint="eastAsia" w:ascii="仿宋" w:hAnsi="仿宋" w:eastAsia="仿宋" w:cs="仿宋"/>
          <w:color w:val="auto"/>
          <w:sz w:val="28"/>
          <w:szCs w:val="28"/>
          <w:lang w:val="en-US" w:eastAsia="zh-CN"/>
        </w:rPr>
        <w:t>(</w:t>
      </w:r>
      <w:r>
        <w:rPr>
          <w:rFonts w:hint="eastAsia" w:ascii="仿宋" w:hAnsi="仿宋" w:eastAsia="仿宋" w:cs="仿宋"/>
          <w:color w:val="auto"/>
          <w:sz w:val="28"/>
          <w:szCs w:val="28"/>
        </w:rPr>
        <w:t>详见表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w:t>
      </w:r>
      <w:r>
        <w:rPr>
          <w:rFonts w:hint="eastAsia" w:ascii="仿宋" w:hAnsi="仿宋" w:eastAsia="仿宋" w:cs="仿宋"/>
          <w:color w:val="auto"/>
          <w:sz w:val="28"/>
          <w:szCs w:val="28"/>
          <w:lang w:val="en-US" w:eastAsia="zh-CN"/>
        </w:rPr>
        <w:t>)</w:t>
      </w:r>
      <w:r>
        <w:rPr>
          <w:rFonts w:hint="eastAsia" w:ascii="仿宋" w:hAnsi="仿宋" w:eastAsia="仿宋" w:cs="仿宋"/>
          <w:color w:val="auto"/>
          <w:sz w:val="28"/>
          <w:szCs w:val="28"/>
        </w:rPr>
        <w:t>。</w:t>
      </w: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 xml:space="preserve">-1 </w:t>
      </w:r>
      <w:r>
        <w:rPr>
          <w:rFonts w:hint="eastAsia" w:ascii="仿宋" w:hAnsi="仿宋" w:eastAsia="仿宋" w:cs="仿宋"/>
          <w:b/>
          <w:color w:val="auto"/>
          <w:sz w:val="28"/>
          <w:szCs w:val="28"/>
          <w:lang w:eastAsia="zh-CN"/>
        </w:rPr>
        <w:t>本公司</w:t>
      </w:r>
      <w:r>
        <w:rPr>
          <w:rFonts w:hint="eastAsia" w:ascii="仿宋" w:hAnsi="仿宋" w:eastAsia="仿宋" w:cs="仿宋"/>
          <w:b/>
          <w:color w:val="auto"/>
          <w:sz w:val="28"/>
          <w:szCs w:val="28"/>
        </w:rPr>
        <w:t>围油栏汇总表</w:t>
      </w:r>
    </w:p>
    <w:tbl>
      <w:tblPr>
        <w:tblStyle w:val="13"/>
        <w:tblW w:w="484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08"/>
        <w:gridCol w:w="1465"/>
        <w:gridCol w:w="1258"/>
        <w:gridCol w:w="979"/>
        <w:gridCol w:w="1079"/>
        <w:gridCol w:w="341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466"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125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980"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1080" w:type="dxa"/>
            <w:tcBorders>
              <w:tl2br w:val="nil"/>
              <w:tr2bl w:val="nil"/>
            </w:tcBorders>
            <w:noWrap w:val="0"/>
            <w:vAlign w:val="center"/>
          </w:tcPr>
          <w:p>
            <w:pPr>
              <w:spacing w:line="240" w:lineRule="auto"/>
              <w:jc w:val="center"/>
              <w:rPr>
                <w:rFonts w:hint="eastAsia" w:ascii="仿宋" w:hAnsi="仿宋" w:eastAsia="仿宋" w:cs="仿宋"/>
                <w:b/>
                <w:color w:val="auto"/>
                <w:sz w:val="24"/>
                <w:szCs w:val="24"/>
                <w:lang w:eastAsia="zh-CN"/>
              </w:rPr>
            </w:pPr>
            <w:r>
              <w:rPr>
                <w:rFonts w:hint="eastAsia" w:ascii="仿宋" w:hAnsi="仿宋" w:eastAsia="仿宋" w:cs="仿宋"/>
                <w:b/>
                <w:color w:val="auto"/>
                <w:sz w:val="24"/>
                <w:szCs w:val="24"/>
              </w:rPr>
              <w:t>厂</w:t>
            </w:r>
            <w:r>
              <w:rPr>
                <w:rFonts w:hint="eastAsia" w:ascii="仿宋" w:hAnsi="仿宋" w:eastAsia="仿宋" w:cs="仿宋"/>
                <w:b/>
                <w:color w:val="auto"/>
                <w:sz w:val="24"/>
                <w:szCs w:val="24"/>
                <w:lang w:eastAsia="zh-CN"/>
              </w:rPr>
              <w:t>家</w:t>
            </w:r>
          </w:p>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3417"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主要技术参数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466"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eastAsia="zh-CN"/>
              </w:rPr>
              <w:t>浮子式</w:t>
            </w:r>
            <w:r>
              <w:rPr>
                <w:rFonts w:hint="eastAsia" w:ascii="仿宋" w:hAnsi="仿宋" w:eastAsia="仿宋" w:cs="仿宋"/>
                <w:color w:val="auto"/>
                <w:sz w:val="24"/>
                <w:szCs w:val="24"/>
              </w:rPr>
              <w:t>围油栏</w:t>
            </w:r>
          </w:p>
        </w:tc>
        <w:tc>
          <w:tcPr>
            <w:tcW w:w="125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WGV-1500</w:t>
            </w:r>
          </w:p>
        </w:tc>
        <w:tc>
          <w:tcPr>
            <w:tcW w:w="9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8</w:t>
            </w:r>
            <w:r>
              <w:rPr>
                <w:rFonts w:hint="eastAsia" w:ascii="仿宋" w:hAnsi="仿宋" w:eastAsia="仿宋" w:cs="仿宋"/>
                <w:color w:val="auto"/>
                <w:sz w:val="24"/>
                <w:szCs w:val="24"/>
              </w:rPr>
              <w:t>00米</w:t>
            </w:r>
          </w:p>
        </w:tc>
        <w:tc>
          <w:tcPr>
            <w:tcW w:w="10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华海</w:t>
            </w:r>
          </w:p>
        </w:tc>
        <w:tc>
          <w:tcPr>
            <w:tcW w:w="3417" w:type="dxa"/>
            <w:tcBorders>
              <w:tl2br w:val="nil"/>
              <w:tr2bl w:val="nil"/>
            </w:tcBorders>
            <w:noWrap w:val="0"/>
            <w:vAlign w:val="center"/>
          </w:tcPr>
          <w:p>
            <w:pPr>
              <w:spacing w:line="240" w:lineRule="auto"/>
              <w:rPr>
                <w:rFonts w:hint="eastAsia" w:ascii="仿宋" w:hAnsi="仿宋" w:eastAsia="仿宋" w:cs="仿宋"/>
                <w:color w:val="auto"/>
                <w:sz w:val="24"/>
                <w:szCs w:val="24"/>
                <w:lang w:eastAsia="zh-CN"/>
              </w:rPr>
            </w:pPr>
            <w:r>
              <w:rPr>
                <w:rFonts w:hint="eastAsia" w:ascii="仿宋" w:hAnsi="仿宋" w:eastAsia="仿宋" w:cs="仿宋"/>
                <w:color w:val="auto"/>
                <w:sz w:val="24"/>
                <w:szCs w:val="24"/>
              </w:rPr>
              <w:t>主要用于开阔水域,耐最大波高3m,耐最大风速20m/s,耐最大流速3Knot</w:t>
            </w:r>
            <w:r>
              <w:rPr>
                <w:rFonts w:hint="eastAsia" w:ascii="仿宋" w:hAnsi="仿宋" w:eastAsia="仿宋" w:cs="仿宋"/>
                <w:color w:val="auto"/>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1466"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非开阔水域围油栏</w:t>
            </w:r>
          </w:p>
        </w:tc>
        <w:tc>
          <w:tcPr>
            <w:tcW w:w="125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WGV-900</w:t>
            </w:r>
          </w:p>
        </w:tc>
        <w:tc>
          <w:tcPr>
            <w:tcW w:w="9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000米</w:t>
            </w:r>
          </w:p>
        </w:tc>
        <w:tc>
          <w:tcPr>
            <w:tcW w:w="10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华海</w:t>
            </w:r>
          </w:p>
        </w:tc>
        <w:tc>
          <w:tcPr>
            <w:tcW w:w="3417" w:type="dxa"/>
            <w:tcBorders>
              <w:tl2br w:val="nil"/>
              <w:tr2bl w:val="nil"/>
            </w:tcBorders>
            <w:noWrap w:val="0"/>
            <w:vAlign w:val="center"/>
          </w:tcPr>
          <w:p>
            <w:pPr>
              <w:spacing w:line="240" w:lineRule="auto"/>
              <w:rPr>
                <w:rFonts w:hint="eastAsia" w:ascii="仿宋" w:hAnsi="仿宋" w:eastAsia="仿宋" w:cs="仿宋"/>
                <w:color w:val="auto"/>
                <w:sz w:val="24"/>
                <w:szCs w:val="24"/>
                <w:lang w:eastAsia="zh-CN"/>
              </w:rPr>
            </w:pPr>
            <w:r>
              <w:rPr>
                <w:rFonts w:hint="eastAsia" w:ascii="仿宋" w:hAnsi="仿宋" w:eastAsia="仿宋" w:cs="仿宋"/>
                <w:color w:val="auto"/>
                <w:sz w:val="24"/>
                <w:szCs w:val="24"/>
              </w:rPr>
              <w:t>主要用于非开阔水域,耐最大波高1.8m,耐最大风速15m/s,耐最大流速2Knot</w:t>
            </w:r>
            <w:r>
              <w:rPr>
                <w:rFonts w:hint="eastAsia" w:ascii="仿宋" w:hAnsi="仿宋" w:eastAsia="仿宋" w:cs="仿宋"/>
                <w:color w:val="auto"/>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3</w:t>
            </w:r>
          </w:p>
        </w:tc>
        <w:tc>
          <w:tcPr>
            <w:tcW w:w="1466"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岸线防护围油栏</w:t>
            </w:r>
          </w:p>
        </w:tc>
        <w:tc>
          <w:tcPr>
            <w:tcW w:w="125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WGV-600</w:t>
            </w:r>
          </w:p>
        </w:tc>
        <w:tc>
          <w:tcPr>
            <w:tcW w:w="9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1400</w:t>
            </w:r>
            <w:r>
              <w:rPr>
                <w:rFonts w:hint="eastAsia" w:ascii="仿宋" w:hAnsi="仿宋" w:eastAsia="仿宋" w:cs="仿宋"/>
                <w:color w:val="auto"/>
                <w:sz w:val="24"/>
                <w:szCs w:val="24"/>
              </w:rPr>
              <w:t>米</w:t>
            </w:r>
          </w:p>
        </w:tc>
        <w:tc>
          <w:tcPr>
            <w:tcW w:w="10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华海</w:t>
            </w:r>
          </w:p>
        </w:tc>
        <w:tc>
          <w:tcPr>
            <w:tcW w:w="3417" w:type="dxa"/>
            <w:tcBorders>
              <w:tl2br w:val="nil"/>
              <w:tr2bl w:val="nil"/>
            </w:tcBorders>
            <w:noWrap w:val="0"/>
            <w:vAlign w:val="center"/>
          </w:tcPr>
          <w:p>
            <w:pPr>
              <w:spacing w:line="240" w:lineRule="auto"/>
              <w:rPr>
                <w:rFonts w:hint="eastAsia" w:ascii="仿宋" w:hAnsi="仿宋" w:eastAsia="仿宋" w:cs="仿宋"/>
                <w:color w:val="auto"/>
                <w:sz w:val="24"/>
                <w:szCs w:val="24"/>
                <w:lang w:eastAsia="zh-CN"/>
              </w:rPr>
            </w:pPr>
            <w:r>
              <w:rPr>
                <w:rFonts w:hint="eastAsia" w:ascii="仿宋" w:hAnsi="仿宋" w:eastAsia="仿宋" w:cs="仿宋"/>
                <w:color w:val="auto"/>
                <w:sz w:val="24"/>
                <w:szCs w:val="24"/>
              </w:rPr>
              <w:t>主要用于非开阔水域,耐最大波高0.5m,耐最大风速8m/s,耐最大流速1Knot</w:t>
            </w:r>
            <w:r>
              <w:rPr>
                <w:rFonts w:hint="eastAsia" w:ascii="仿宋" w:hAnsi="仿宋" w:eastAsia="仿宋" w:cs="仿宋"/>
                <w:color w:val="auto"/>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4</w:t>
            </w:r>
          </w:p>
        </w:tc>
        <w:tc>
          <w:tcPr>
            <w:tcW w:w="1466"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岸滩围油栏</w:t>
            </w:r>
          </w:p>
        </w:tc>
        <w:tc>
          <w:tcPr>
            <w:tcW w:w="125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WQV-600</w:t>
            </w:r>
          </w:p>
        </w:tc>
        <w:tc>
          <w:tcPr>
            <w:tcW w:w="9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600米</w:t>
            </w:r>
          </w:p>
        </w:tc>
        <w:tc>
          <w:tcPr>
            <w:tcW w:w="10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华海</w:t>
            </w:r>
          </w:p>
        </w:tc>
        <w:tc>
          <w:tcPr>
            <w:tcW w:w="3417" w:type="dxa"/>
            <w:tcBorders>
              <w:tl2br w:val="nil"/>
              <w:tr2bl w:val="nil"/>
            </w:tcBorders>
            <w:noWrap w:val="0"/>
            <w:vAlign w:val="center"/>
          </w:tcPr>
          <w:p>
            <w:pPr>
              <w:spacing w:line="240" w:lineRule="auto"/>
              <w:rPr>
                <w:rFonts w:hint="eastAsia" w:ascii="仿宋" w:hAnsi="仿宋" w:eastAsia="仿宋" w:cs="仿宋"/>
                <w:color w:val="auto"/>
                <w:sz w:val="24"/>
                <w:szCs w:val="24"/>
                <w:lang w:eastAsia="zh-CN"/>
              </w:rPr>
            </w:pPr>
            <w:r>
              <w:rPr>
                <w:rFonts w:hint="eastAsia" w:ascii="仿宋" w:hAnsi="仿宋" w:eastAsia="仿宋" w:cs="仿宋"/>
                <w:color w:val="auto"/>
                <w:sz w:val="24"/>
                <w:szCs w:val="24"/>
              </w:rPr>
              <w:t>主要防止溢油在岸滩和陆地上外溢，可用于应急性布放。总抗拉强度30kn</w:t>
            </w:r>
            <w:r>
              <w:rPr>
                <w:rFonts w:hint="eastAsia" w:ascii="仿宋" w:hAnsi="仿宋" w:eastAsia="仿宋" w:cs="仿宋"/>
                <w:color w:val="auto"/>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5</w:t>
            </w:r>
          </w:p>
        </w:tc>
        <w:tc>
          <w:tcPr>
            <w:tcW w:w="1466"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充气式围油栏</w:t>
            </w:r>
          </w:p>
        </w:tc>
        <w:tc>
          <w:tcPr>
            <w:tcW w:w="125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WQJ1500</w:t>
            </w:r>
          </w:p>
        </w:tc>
        <w:tc>
          <w:tcPr>
            <w:tcW w:w="9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00米</w:t>
            </w:r>
          </w:p>
        </w:tc>
        <w:tc>
          <w:tcPr>
            <w:tcW w:w="10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青岛华海</w:t>
            </w:r>
          </w:p>
        </w:tc>
        <w:tc>
          <w:tcPr>
            <w:tcW w:w="3417" w:type="dxa"/>
            <w:tcBorders>
              <w:tl2br w:val="nil"/>
              <w:tr2bl w:val="nil"/>
            </w:tcBorders>
            <w:noWrap w:val="0"/>
            <w:vAlign w:val="center"/>
          </w:tcPr>
          <w:p>
            <w:pPr>
              <w:spacing w:line="240" w:lineRule="auto"/>
              <w:rPr>
                <w:rFonts w:hint="eastAsia" w:ascii="仿宋" w:hAnsi="仿宋" w:eastAsia="仿宋" w:cs="仿宋"/>
                <w:color w:val="auto"/>
                <w:sz w:val="24"/>
                <w:szCs w:val="24"/>
                <w:lang w:eastAsia="zh-CN"/>
              </w:rPr>
            </w:pPr>
            <w:r>
              <w:rPr>
                <w:rFonts w:hint="eastAsia" w:ascii="仿宋" w:hAnsi="仿宋" w:eastAsia="仿宋" w:cs="仿宋"/>
                <w:color w:val="auto"/>
                <w:sz w:val="24"/>
                <w:szCs w:val="24"/>
              </w:rPr>
              <w:t>适用于大型油码头及作业频繁需长期固定布栏的水域。抗风速20m/s，耐潮流3-4kn,耐波高3m</w:t>
            </w:r>
            <w:r>
              <w:rPr>
                <w:rFonts w:hint="eastAsia" w:ascii="仿宋" w:hAnsi="仿宋" w:eastAsia="仿宋" w:cs="仿宋"/>
                <w:color w:val="auto"/>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6</w:t>
            </w:r>
          </w:p>
        </w:tc>
        <w:tc>
          <w:tcPr>
            <w:tcW w:w="1466"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防火围油栏</w:t>
            </w:r>
          </w:p>
        </w:tc>
        <w:tc>
          <w:tcPr>
            <w:tcW w:w="125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WGJ900H</w:t>
            </w:r>
          </w:p>
        </w:tc>
        <w:tc>
          <w:tcPr>
            <w:tcW w:w="9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20</w:t>
            </w:r>
            <w:r>
              <w:rPr>
                <w:rFonts w:hint="eastAsia" w:ascii="仿宋" w:hAnsi="仿宋" w:eastAsia="仿宋" w:cs="仿宋"/>
                <w:color w:val="auto"/>
                <w:sz w:val="24"/>
                <w:szCs w:val="24"/>
              </w:rPr>
              <w:t>0米</w:t>
            </w:r>
          </w:p>
        </w:tc>
        <w:tc>
          <w:tcPr>
            <w:tcW w:w="10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青岛华海</w:t>
            </w:r>
          </w:p>
        </w:tc>
        <w:tc>
          <w:tcPr>
            <w:tcW w:w="3417"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适用于溢油燃烧处理，拦截防止水面溢油和流淌火，可抵挡已有燃烧的表面温度和应力，减小火灾.抗风速15m/s,抗流速2knot,抗波高1m。</w:t>
            </w:r>
          </w:p>
        </w:tc>
      </w:tr>
    </w:tbl>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outlineLvl w:val="9"/>
        <w:rPr>
          <w:rFonts w:hint="eastAsia" w:ascii="仿宋" w:hAnsi="仿宋" w:eastAsia="仿宋" w:cs="仿宋"/>
          <w:color w:val="auto"/>
          <w:sz w:val="28"/>
          <w:szCs w:val="28"/>
          <w:lang w:val="en-US" w:eastAsia="zh-CN"/>
        </w:rPr>
      </w:pPr>
      <w:bookmarkStart w:id="66" w:name="_Toc24717"/>
    </w:p>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.1.2</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各种环境对围油栏的性能要求</w:t>
      </w:r>
      <w:bookmarkEnd w:id="66"/>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在GB/T 34621-2017《围油栏》中，将使用围油栏的水域划分为平静水域、平静急流水域、遮蔽水域和开阔水域四种类型。平静水域是指波高在0～0.3m，水流速度在0.4m/s以下的水域。平静急流水域是指波高在0～0.3m，水流速度在0.4m/s或以上的水域。遮蔽水域是指波高在0～1m的水域。开阔水域是指波高在0～2m或2m以上的水域。由于水域环境不同，对围油栏的性能要求也不同，任何一种围油栏都不可能适用各种水域环境。不同水域环境对围油栏的性能要求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-2。实际作业中，本公司将根据水域环境选择适当的围油栏。</w:t>
      </w:r>
    </w:p>
    <w:p>
      <w:pPr>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-2 不同水域对围油栏的性能要求</w:t>
      </w:r>
    </w:p>
    <w:tbl>
      <w:tblPr>
        <w:tblStyle w:val="13"/>
        <w:tblW w:w="484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73"/>
        <w:gridCol w:w="2128"/>
        <w:gridCol w:w="1769"/>
        <w:gridCol w:w="2038"/>
        <w:gridCol w:w="179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exact"/>
          <w:jc w:val="center"/>
        </w:trPr>
        <w:tc>
          <w:tcPr>
            <w:tcW w:w="1274" w:type="dxa"/>
            <w:tcBorders>
              <w:tl2br w:val="nil"/>
              <w:tr2bl w:val="nil"/>
            </w:tcBorders>
            <w:noWrap w:val="0"/>
            <w:vAlign w:val="center"/>
          </w:tcPr>
          <w:p>
            <w:pPr>
              <w:ind w:left="-90"/>
              <w:jc w:val="center"/>
              <w:rPr>
                <w:rFonts w:hint="eastAsia" w:ascii="仿宋" w:hAnsi="仿宋" w:eastAsia="仿宋" w:cs="仿宋"/>
                <w:b/>
                <w:color w:val="auto"/>
                <w:sz w:val="21"/>
                <w:szCs w:val="21"/>
              </w:rPr>
            </w:pPr>
          </w:p>
        </w:tc>
        <w:tc>
          <w:tcPr>
            <w:tcW w:w="2130" w:type="dxa"/>
            <w:tcBorders>
              <w:tl2br w:val="nil"/>
              <w:tr2bl w:val="nil"/>
            </w:tcBorders>
            <w:noWrap w:val="0"/>
            <w:vAlign w:val="center"/>
          </w:tcPr>
          <w:p>
            <w:pPr>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小于0.3m波高的平静水面湖泊港湾</w:t>
            </w:r>
          </w:p>
        </w:tc>
        <w:tc>
          <w:tcPr>
            <w:tcW w:w="1770" w:type="dxa"/>
            <w:tcBorders>
              <w:tl2br w:val="nil"/>
              <w:tr2bl w:val="nil"/>
            </w:tcBorders>
            <w:noWrap w:val="0"/>
            <w:vAlign w:val="center"/>
          </w:tcPr>
          <w:p>
            <w:pPr>
              <w:ind w:left="-91"/>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有潮流的</w:t>
            </w:r>
          </w:p>
          <w:p>
            <w:pPr>
              <w:ind w:left="-91"/>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河流水面</w:t>
            </w:r>
          </w:p>
        </w:tc>
        <w:tc>
          <w:tcPr>
            <w:tcW w:w="2040" w:type="dxa"/>
            <w:tcBorders>
              <w:tl2br w:val="nil"/>
              <w:tr2bl w:val="nil"/>
            </w:tcBorders>
            <w:noWrap w:val="0"/>
            <w:vAlign w:val="center"/>
          </w:tcPr>
          <w:p>
            <w:pPr>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波高小于1.5m的</w:t>
            </w:r>
          </w:p>
          <w:p>
            <w:pPr>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遮蔽水域近岸水域</w:t>
            </w:r>
          </w:p>
        </w:tc>
        <w:tc>
          <w:tcPr>
            <w:tcW w:w="1797" w:type="dxa"/>
            <w:tcBorders>
              <w:tl2br w:val="nil"/>
              <w:tr2bl w:val="nil"/>
            </w:tcBorders>
            <w:noWrap w:val="0"/>
            <w:vAlign w:val="center"/>
          </w:tcPr>
          <w:p>
            <w:pPr>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波高大于1.0m的</w:t>
            </w:r>
          </w:p>
          <w:p>
            <w:pPr>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开阔水域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7" w:hRule="exact"/>
          <w:jc w:val="center"/>
        </w:trPr>
        <w:tc>
          <w:tcPr>
            <w:tcW w:w="1274"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干舷</w:t>
            </w:r>
          </w:p>
        </w:tc>
        <w:tc>
          <w:tcPr>
            <w:tcW w:w="213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0.2～0.5 m</w:t>
            </w:r>
          </w:p>
        </w:tc>
        <w:tc>
          <w:tcPr>
            <w:tcW w:w="177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0.3～0.5 m</w:t>
            </w:r>
          </w:p>
        </w:tc>
        <w:tc>
          <w:tcPr>
            <w:tcW w:w="204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0.4～0.6 m</w:t>
            </w:r>
          </w:p>
        </w:tc>
        <w:tc>
          <w:tcPr>
            <w:tcW w:w="1797"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0.5～1.O 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7" w:hRule="exact"/>
          <w:jc w:val="center"/>
        </w:trPr>
        <w:tc>
          <w:tcPr>
            <w:tcW w:w="1274"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吃水</w:t>
            </w:r>
          </w:p>
        </w:tc>
        <w:tc>
          <w:tcPr>
            <w:tcW w:w="213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0.2～0.5 m</w:t>
            </w:r>
          </w:p>
        </w:tc>
        <w:tc>
          <w:tcPr>
            <w:tcW w:w="177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0.3～0.7 m</w:t>
            </w:r>
          </w:p>
        </w:tc>
        <w:tc>
          <w:tcPr>
            <w:tcW w:w="204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0.4～0.8 m</w:t>
            </w:r>
          </w:p>
        </w:tc>
        <w:tc>
          <w:tcPr>
            <w:tcW w:w="1797"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0.6～1.5 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07" w:hRule="exact"/>
          <w:jc w:val="center"/>
        </w:trPr>
        <w:tc>
          <w:tcPr>
            <w:tcW w:w="1274"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浮力重量比</w:t>
            </w:r>
          </w:p>
        </w:tc>
        <w:tc>
          <w:tcPr>
            <w:tcW w:w="213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3：1～10：1</w:t>
            </w:r>
          </w:p>
        </w:tc>
        <w:tc>
          <w:tcPr>
            <w:tcW w:w="177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3：1～10：1</w:t>
            </w:r>
          </w:p>
        </w:tc>
        <w:tc>
          <w:tcPr>
            <w:tcW w:w="204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5：1～12：1</w:t>
            </w:r>
          </w:p>
        </w:tc>
        <w:tc>
          <w:tcPr>
            <w:tcW w:w="1797" w:type="dxa"/>
            <w:tcBorders>
              <w:tl2br w:val="nil"/>
              <w:tr2bl w:val="nil"/>
            </w:tcBorders>
            <w:noWrap w:val="0"/>
            <w:vAlign w:val="center"/>
          </w:tcPr>
          <w:p>
            <w:pPr>
              <w:ind w:firstLine="105" w:firstLineChars="50"/>
              <w:jc w:val="center"/>
              <w:rPr>
                <w:rFonts w:hint="eastAsia" w:ascii="仿宋" w:hAnsi="仿宋" w:eastAsia="仿宋" w:cs="仿宋"/>
                <w:color w:val="auto"/>
                <w:sz w:val="21"/>
                <w:szCs w:val="21"/>
              </w:rPr>
            </w:pPr>
            <w:r>
              <w:rPr>
                <w:rFonts w:hint="eastAsia" w:ascii="仿宋" w:hAnsi="仿宋" w:eastAsia="仿宋" w:cs="仿宋"/>
                <w:color w:val="auto"/>
                <w:sz w:val="21"/>
                <w:szCs w:val="21"/>
              </w:rPr>
              <w:t>8：1～15：1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7" w:hRule="exact"/>
          <w:jc w:val="center"/>
        </w:trPr>
        <w:tc>
          <w:tcPr>
            <w:tcW w:w="1274"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总张力强度</w:t>
            </w:r>
          </w:p>
        </w:tc>
        <w:tc>
          <w:tcPr>
            <w:tcW w:w="213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不小于10 kn</w:t>
            </w:r>
          </w:p>
        </w:tc>
        <w:tc>
          <w:tcPr>
            <w:tcW w:w="177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不小于30 kn</w:t>
            </w:r>
          </w:p>
        </w:tc>
        <w:tc>
          <w:tcPr>
            <w:tcW w:w="204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不小于50 kn</w:t>
            </w:r>
          </w:p>
        </w:tc>
        <w:tc>
          <w:tcPr>
            <w:tcW w:w="1797"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不小于150 kn</w:t>
            </w:r>
          </w:p>
        </w:tc>
      </w:tr>
    </w:tbl>
    <w:p>
      <w:pPr>
        <w:pStyle w:val="27"/>
        <w:keepLines w:val="0"/>
        <w:pageBreakBefore w:val="0"/>
        <w:kinsoku/>
        <w:wordWrap/>
        <w:overflowPunct/>
        <w:topLinePunct w:val="0"/>
        <w:autoSpaceDE/>
        <w:autoSpaceDN/>
        <w:bidi w:val="0"/>
        <w:adjustRightInd/>
        <w:snapToGrid/>
        <w:spacing w:before="0" w:after="0" w:line="500" w:lineRule="exact"/>
        <w:textAlignment w:val="auto"/>
        <w:outlineLvl w:val="9"/>
        <w:rPr>
          <w:rFonts w:hint="eastAsia" w:ascii="仿宋" w:hAnsi="仿宋" w:eastAsia="仿宋" w:cs="仿宋"/>
          <w:color w:val="auto"/>
          <w:sz w:val="28"/>
          <w:szCs w:val="28"/>
        </w:rPr>
      </w:pPr>
      <w:bookmarkStart w:id="67" w:name="_Toc513"/>
    </w:p>
    <w:p>
      <w:pPr>
        <w:pStyle w:val="27"/>
        <w:keepLines w:val="0"/>
        <w:pageBreakBefore w:val="0"/>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.1.3</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选用围油栏的一般原则</w:t>
      </w:r>
      <w:bookmarkEnd w:id="67"/>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围油栏的选用，首先考虑水域环境对围油栏的性能要求和围油栏的基本性能参数，然后考虑现场环境和围油栏的操作性能。</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（1）水域环境有下列几种情况：</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浪高为0.3m的平静水面（湖泊、港口等）</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有水流的平静水面（江、河等）</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波浪高于1.0m的遮蔽水域</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波浪高于1.0m的开阔水域</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（2）围油栏的性能参数包括：</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干舷</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吃水</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浮重比</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总拉力强度</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（3）围油栏的操作性能包括：</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围油栏的耐用性</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易布放</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具有良好的随波性</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布放速度快</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较好的岸线密封性</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容易维护保养</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便于储存以及适用性</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在考虑上述因素的同时，根据布放的目的，按照围控、导流、保护目的来选用围油栏。本公司围油栏总体可分为固体浮子型和充气型，围油栏选用可参考表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-3。</w:t>
      </w:r>
    </w:p>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-3 围油栏选用指南</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99"/>
        <w:gridCol w:w="3119"/>
        <w:gridCol w:w="2060"/>
        <w:gridCol w:w="243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4658" w:type="dxa"/>
            <w:gridSpan w:val="2"/>
            <w:vMerge w:val="restart"/>
            <w:tcBorders>
              <w:tl2br w:val="nil"/>
              <w:tr2bl w:val="nil"/>
            </w:tcBorders>
            <w:noWrap w:val="0"/>
            <w:vAlign w:val="center"/>
          </w:tcPr>
          <w:p>
            <w:pPr>
              <w:spacing w:line="240" w:lineRule="auto"/>
              <w:ind w:left="-2"/>
              <w:rPr>
                <w:rFonts w:hint="eastAsia" w:ascii="仿宋" w:hAnsi="仿宋" w:eastAsia="仿宋" w:cs="仿宋"/>
                <w:b/>
                <w:color w:val="auto"/>
                <w:sz w:val="24"/>
                <w:szCs w:val="24"/>
              </w:rPr>
            </w:pPr>
            <w:r>
              <w:rPr>
                <w:rFonts w:hint="eastAsia" w:ascii="仿宋" w:hAnsi="仿宋" w:eastAsia="仿宋" w:cs="仿宋"/>
                <w:b/>
                <w:color w:val="auto"/>
                <w:sz w:val="24"/>
                <w:szCs w:val="24"/>
              </w:rPr>
              <w:t>符号说明：1、好；2、中等；3、差</w:t>
            </w:r>
          </w:p>
        </w:tc>
        <w:tc>
          <w:tcPr>
            <w:tcW w:w="4628" w:type="dxa"/>
            <w:gridSpan w:val="2"/>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围油栏型号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4658" w:type="dxa"/>
            <w:gridSpan w:val="2"/>
            <w:vMerge w:val="continue"/>
            <w:tcBorders>
              <w:tl2br w:val="nil"/>
              <w:tr2bl w:val="nil"/>
            </w:tcBorders>
            <w:noWrap w:val="0"/>
            <w:vAlign w:val="center"/>
          </w:tcPr>
          <w:p>
            <w:pPr>
              <w:spacing w:line="240" w:lineRule="auto"/>
              <w:ind w:left="-95" w:leftChars="-43" w:firstLine="843" w:firstLineChars="350"/>
              <w:rPr>
                <w:rFonts w:hint="eastAsia" w:ascii="仿宋" w:hAnsi="仿宋" w:eastAsia="仿宋" w:cs="仿宋"/>
                <w:b/>
                <w:color w:val="auto"/>
                <w:sz w:val="24"/>
                <w:szCs w:val="24"/>
              </w:rPr>
            </w:pPr>
          </w:p>
        </w:tc>
        <w:tc>
          <w:tcPr>
            <w:tcW w:w="2123" w:type="dxa"/>
            <w:tcBorders>
              <w:tl2br w:val="nil"/>
              <w:tr2bl w:val="nil"/>
            </w:tcBorders>
            <w:noWrap w:val="0"/>
            <w:vAlign w:val="center"/>
          </w:tcPr>
          <w:p>
            <w:pPr>
              <w:spacing w:line="240" w:lineRule="auto"/>
              <w:ind w:left="-9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固体浮子型</w:t>
            </w:r>
          </w:p>
        </w:tc>
        <w:tc>
          <w:tcPr>
            <w:tcW w:w="2505" w:type="dxa"/>
            <w:tcBorders>
              <w:tl2br w:val="nil"/>
              <w:tr2bl w:val="nil"/>
            </w:tcBorders>
            <w:noWrap w:val="0"/>
            <w:vAlign w:val="center"/>
          </w:tcPr>
          <w:p>
            <w:pPr>
              <w:spacing w:line="240" w:lineRule="auto"/>
              <w:ind w:firstLine="120" w:firstLineChars="5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充气型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restart"/>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环境</w:t>
            </w:r>
          </w:p>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状况</w:t>
            </w: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近海、Hs&gt;3ft、V&lt;lkn</w:t>
            </w:r>
          </w:p>
        </w:tc>
        <w:tc>
          <w:tcPr>
            <w:tcW w:w="212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港口、Hs&gt;3ft、V&lt;lkn</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平静水、Hs&gt;3ft、V&lt;0.5kn</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高流速、V&gt;lkn</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浅水水深&lt;1m</w:t>
            </w:r>
          </w:p>
        </w:tc>
        <w:tc>
          <w:tcPr>
            <w:tcW w:w="212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restart"/>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性能</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特征</w:t>
            </w: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在有粗糙物体情况下使用</w:t>
            </w:r>
          </w:p>
        </w:tc>
        <w:tc>
          <w:tcPr>
            <w:tcW w:w="212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50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富余浮力</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随波性</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强度</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l</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restart"/>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操作</w:t>
            </w:r>
          </w:p>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特性</w:t>
            </w: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易搬运</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易清洗</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可压缩性</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3</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bl>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textAlignment w:val="auto"/>
        <w:rPr>
          <w:rFonts w:hint="eastAsia" w:ascii="仿宋" w:hAnsi="仿宋" w:eastAsia="仿宋" w:cs="仿宋"/>
          <w:color w:val="auto"/>
          <w:sz w:val="28"/>
          <w:szCs w:val="28"/>
        </w:rPr>
      </w:pPr>
    </w:p>
    <w:p>
      <w:pPr>
        <w:pStyle w:val="27"/>
        <w:keepLines w:val="0"/>
        <w:pageBreakBefore w:val="0"/>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bookmarkStart w:id="68" w:name="_Toc9867"/>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.1.4</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围油栏的选用</w:t>
      </w:r>
      <w:bookmarkEnd w:id="68"/>
    </w:p>
    <w:p>
      <w:pPr>
        <w:pStyle w:val="27"/>
        <w:keepLines w:val="0"/>
        <w:pageBreakBefore w:val="0"/>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（1）开阔水域围油栏的选用</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在开阔水域选择围油栏，应主要考虑下列因素：</w:t>
      </w:r>
    </w:p>
    <w:p>
      <w:pPr>
        <w:keepLines w:val="0"/>
        <w:pageBreakBefore w:val="0"/>
        <w:widowControl w:val="0"/>
        <w:numPr>
          <w:ilvl w:val="0"/>
          <w:numId w:val="0"/>
        </w:numPr>
        <w:tabs>
          <w:tab w:val="left" w:pos="1134"/>
        </w:tabs>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◆围油栏的强度：所选择围油栏强度应能够承受波浪和潮流产生的作用力</w:t>
      </w:r>
      <w:r>
        <w:rPr>
          <w:rFonts w:hint="eastAsia" w:ascii="仿宋" w:hAnsi="仿宋" w:eastAsia="仿宋" w:cs="仿宋"/>
          <w:color w:val="auto"/>
          <w:sz w:val="28"/>
          <w:szCs w:val="28"/>
          <w:lang w:eastAsia="zh-CN"/>
        </w:rPr>
        <w:t>。</w:t>
      </w:r>
    </w:p>
    <w:p>
      <w:pPr>
        <w:keepLines w:val="0"/>
        <w:pageBreakBefore w:val="0"/>
        <w:widowControl w:val="0"/>
        <w:numPr>
          <w:ilvl w:val="0"/>
          <w:numId w:val="0"/>
        </w:numPr>
        <w:tabs>
          <w:tab w:val="left" w:pos="1134"/>
        </w:tabs>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◆容易布放：所选择的围油栏应能够非常方便地从船舶上布放到水面，并形成理想的形状</w:t>
      </w:r>
      <w:r>
        <w:rPr>
          <w:rFonts w:hint="eastAsia" w:ascii="仿宋" w:hAnsi="仿宋" w:eastAsia="仿宋" w:cs="仿宋"/>
          <w:color w:val="auto"/>
          <w:sz w:val="28"/>
          <w:szCs w:val="28"/>
          <w:lang w:eastAsia="zh-CN"/>
        </w:rPr>
        <w:t>。</w:t>
      </w:r>
    </w:p>
    <w:p>
      <w:pPr>
        <w:keepLines w:val="0"/>
        <w:pageBreakBefore w:val="0"/>
        <w:widowControl w:val="0"/>
        <w:numPr>
          <w:ilvl w:val="0"/>
          <w:numId w:val="0"/>
        </w:numPr>
        <w:tabs>
          <w:tab w:val="left" w:pos="1134"/>
        </w:tabs>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◆存储空间：在发生溢油时，经常使用船舶将围油栏运到溢油现场进行布放，应考虑船舶甲板是否具有足够的空间。</w:t>
      </w:r>
    </w:p>
    <w:p>
      <w:pPr>
        <w:keepLines w:val="0"/>
        <w:pageBreakBefore w:val="0"/>
        <w:widowControl w:val="0"/>
        <w:numPr>
          <w:ilvl w:val="0"/>
          <w:numId w:val="0"/>
        </w:numPr>
        <w:tabs>
          <w:tab w:val="left" w:pos="1134"/>
        </w:tabs>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◆浮重比：经验表明，浮重比应在8：1以上。</w:t>
      </w:r>
    </w:p>
    <w:p>
      <w:pPr>
        <w:keepLines w:val="0"/>
        <w:pageBreakBefore w:val="0"/>
        <w:widowControl w:val="0"/>
        <w:numPr>
          <w:ilvl w:val="0"/>
          <w:numId w:val="0"/>
        </w:numPr>
        <w:tabs>
          <w:tab w:val="left" w:pos="1134"/>
        </w:tabs>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◆干舷和吃水：干舷和吃水的尺寸应由使用水域的波高和潮流情况而定。</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根据上述因素，在开阔水域，本公司选用充气式帘式围油栏。</w:t>
      </w:r>
    </w:p>
    <w:p>
      <w:pPr>
        <w:keepLines w:val="0"/>
        <w:pageBreakBefore w:val="0"/>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（2）近岸水域围油栏的选用</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在近岸水域布放围油栏的目的一般是为了导流溢油，需要广泛或永久的布放。选用固体浮子式围油栏或充气式围油栏。</w:t>
      </w:r>
    </w:p>
    <w:p>
      <w:pPr>
        <w:keepLines w:val="0"/>
        <w:pageBreakBefore w:val="0"/>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（3）码头水域围油栏的选用</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用于保护码头水域的围油栏，首先要考虑的是容易快速布放。充气式围油栏适用于这一用途。如果码头水域流急，则应选择固体浮子式围油栏。如果在波浪大的泊位布放固定式或半固定式围油栏，应选择强度大和浮重比高的围油栏。</w:t>
      </w:r>
    </w:p>
    <w:p>
      <w:pPr>
        <w:pStyle w:val="27"/>
        <w:keepLines w:val="0"/>
        <w:pageBreakBefore w:val="0"/>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bookmarkStart w:id="69" w:name="_Toc9840"/>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.1.5</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围油栏的布放形式</w:t>
      </w:r>
      <w:bookmarkEnd w:id="69"/>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围油栏对溢油的围控、导流和防范作用，要通过适当的布放形式来实现。按照不同的水域类型，围油栏的布放形式分为三种情况，即开阔水域的布放形式和近岸、河流的布放形式。</w:t>
      </w:r>
    </w:p>
    <w:p>
      <w:pPr>
        <w:keepLines w:val="0"/>
        <w:pageBreakBefore w:val="0"/>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val="en-US" w:eastAsia="zh-CN"/>
        </w:rPr>
        <w:t xml:space="preserve">6.1.5.1 </w:t>
      </w:r>
      <w:r>
        <w:rPr>
          <w:rFonts w:hint="eastAsia" w:ascii="仿宋" w:hAnsi="仿宋" w:eastAsia="仿宋" w:cs="仿宋"/>
          <w:b/>
          <w:color w:val="auto"/>
          <w:sz w:val="28"/>
          <w:szCs w:val="28"/>
        </w:rPr>
        <w:t>开阔水域围油栏的布放形式</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在开阔水域布放围油栏，其形式主要取决于布放围油栏的目的和参与布放围油栏的船舶数量。本公司围控布放形式有两船布放和三船布放。</w:t>
      </w:r>
    </w:p>
    <w:p>
      <w:pPr>
        <w:keepLines w:val="0"/>
        <w:pageBreakBefore w:val="0"/>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eastAsia="zh-CN"/>
        </w:rPr>
        <w:t>（</w:t>
      </w:r>
      <w:r>
        <w:rPr>
          <w:rFonts w:hint="eastAsia" w:ascii="仿宋" w:hAnsi="仿宋" w:eastAsia="仿宋" w:cs="仿宋"/>
          <w:b/>
          <w:color w:val="auto"/>
          <w:sz w:val="28"/>
          <w:szCs w:val="28"/>
        </w:rPr>
        <w:t>1）两船布放式</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两船布放围油栏通常以J形布放，也称作J形拖带</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2705100" cy="1410970"/>
            <wp:effectExtent l="0" t="0" r="0" b="17780"/>
            <wp:docPr id="11" name="图片 11"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片8"/>
                    <pic:cNvPicPr>
                      <a:picLocks noChangeAspect="1"/>
                    </pic:cNvPicPr>
                  </pic:nvPicPr>
                  <pic:blipFill>
                    <a:blip r:embed="rId22"/>
                    <a:stretch>
                      <a:fillRect/>
                    </a:stretch>
                  </pic:blipFill>
                  <pic:spPr>
                    <a:xfrm>
                      <a:off x="0" y="0"/>
                      <a:ext cx="2705100" cy="141097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1</w:t>
      </w:r>
      <w:r>
        <w:rPr>
          <w:rFonts w:hint="eastAsia" w:ascii="仿宋" w:hAnsi="仿宋" w:eastAsia="仿宋" w:cs="仿宋"/>
          <w:b/>
          <w:color w:val="auto"/>
          <w:sz w:val="24"/>
          <w:szCs w:val="24"/>
        </w:rPr>
        <w:t xml:space="preserve"> 两船J形布放围油栏</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J形布放形式需要两艘船，一艘作为主拖船，用于存放围油栏和回收设备；一艘作为拖船，拖带围油栏：围油栏的长度需要200-400 m。从主拖船至J形底部之间围油栏的长度为20-40 m，收油机放置在J形底部。围油栏要紧靠在主拖船的一侧（10-20 m），便于操作收油机。</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为了获得并保持理想的围油栏底部形状，经常采用绳子连接在围油栏和船舶之间，并可以通过绳子调整围油栏的形状。</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两船布放形式用于溢油导向作用时，围油栏的长度一般为100-400 m。如果围油栏过长，辅助船舶难以保持理想的位置，作业效能就会下降。</w:t>
      </w:r>
    </w:p>
    <w:p>
      <w:pPr>
        <w:keepNext w:val="0"/>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val="en-US" w:eastAsia="zh-CN"/>
        </w:rPr>
        <w:t>（2</w:t>
      </w:r>
      <w:r>
        <w:rPr>
          <w:rFonts w:hint="eastAsia" w:ascii="仿宋" w:hAnsi="仿宋" w:eastAsia="仿宋" w:cs="仿宋"/>
          <w:b/>
          <w:color w:val="auto"/>
          <w:sz w:val="28"/>
          <w:szCs w:val="28"/>
        </w:rPr>
        <w:t>）三船布放形式</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使用三艘船舶进行布放，围控形状通常为U形（见图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）或开口U形围控（见图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w:t>
      </w:r>
      <w:r>
        <w:rPr>
          <w:rFonts w:hint="eastAsia" w:ascii="仿宋" w:hAnsi="仿宋" w:eastAsia="仿宋" w:cs="仿宋"/>
          <w:color w:val="auto"/>
          <w:sz w:val="28"/>
          <w:szCs w:val="28"/>
          <w:lang w:eastAsia="zh-CN"/>
        </w:rPr>
        <w:t>。</w:t>
      </w:r>
    </w:p>
    <w:p>
      <w:pPr>
        <w:keepNext w:val="0"/>
        <w:keepLines w:val="0"/>
        <w:pageBreakBefore w:val="0"/>
        <w:widowControl/>
        <w:kinsoku/>
        <w:wordWrap/>
        <w:overflowPunct/>
        <w:topLinePunct w:val="0"/>
        <w:autoSpaceDE/>
        <w:autoSpaceDN/>
        <w:bidi w:val="0"/>
        <w:adjustRightInd/>
        <w:snapToGrid/>
        <w:spacing w:line="240" w:lineRule="auto"/>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095625" cy="1638935"/>
            <wp:effectExtent l="0" t="0" r="9525" b="18415"/>
            <wp:docPr id="12" name="图片 12"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片9"/>
                    <pic:cNvPicPr>
                      <a:picLocks noChangeAspect="1"/>
                    </pic:cNvPicPr>
                  </pic:nvPicPr>
                  <pic:blipFill>
                    <a:blip r:embed="rId23"/>
                    <a:stretch>
                      <a:fillRect/>
                    </a:stretch>
                  </pic:blipFill>
                  <pic:spPr>
                    <a:xfrm>
                      <a:off x="0" y="0"/>
                      <a:ext cx="3095625" cy="163893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ind w:firstLine="2650" w:firstLineChars="11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2</w:t>
      </w:r>
      <w:r>
        <w:rPr>
          <w:rFonts w:hint="eastAsia" w:ascii="仿宋" w:hAnsi="仿宋" w:eastAsia="仿宋" w:cs="仿宋"/>
          <w:b/>
          <w:color w:val="auto"/>
          <w:sz w:val="24"/>
          <w:szCs w:val="24"/>
        </w:rPr>
        <w:t xml:space="preserve"> 三船U型布放围油栏</w:t>
      </w:r>
    </w:p>
    <w:p>
      <w:pPr>
        <w:keepNext w:val="0"/>
        <w:keepLines w:val="0"/>
        <w:pageBreakBefore w:val="0"/>
        <w:widowControl/>
        <w:kinsoku/>
        <w:wordWrap/>
        <w:overflowPunct/>
        <w:topLinePunct w:val="0"/>
        <w:autoSpaceDE/>
        <w:autoSpaceDN/>
        <w:bidi w:val="0"/>
        <w:adjustRightInd/>
        <w:snapToGrid/>
        <w:spacing w:line="240" w:lineRule="auto"/>
        <w:jc w:val="both"/>
        <w:textAlignment w:val="auto"/>
        <w:rPr>
          <w:rFonts w:hint="eastAsia" w:ascii="仿宋" w:hAnsi="仿宋" w:eastAsia="仿宋" w:cs="仿宋"/>
          <w:b/>
          <w:color w:val="auto"/>
          <w:sz w:val="28"/>
          <w:szCs w:val="28"/>
          <w:lang w:eastAsia="zh-CN"/>
        </w:rPr>
      </w:pPr>
      <w:r>
        <w:rPr>
          <w:rFonts w:hint="eastAsia" w:ascii="仿宋" w:hAnsi="仿宋" w:eastAsia="仿宋" w:cs="仿宋"/>
          <w:b/>
          <w:color w:val="auto"/>
          <w:sz w:val="28"/>
          <w:szCs w:val="28"/>
          <w:lang w:val="en-US" w:eastAsia="zh-CN"/>
        </w:rPr>
        <w:t xml:space="preserve">               </w:t>
      </w:r>
      <w:r>
        <w:rPr>
          <w:rFonts w:hint="eastAsia" w:ascii="仿宋" w:hAnsi="仿宋" w:eastAsia="仿宋" w:cs="仿宋"/>
          <w:b/>
          <w:color w:val="auto"/>
          <w:sz w:val="28"/>
          <w:szCs w:val="28"/>
          <w:lang w:eastAsia="zh-CN"/>
        </w:rPr>
        <w:drawing>
          <wp:inline distT="0" distB="0" distL="114300" distR="114300">
            <wp:extent cx="2990850" cy="1571625"/>
            <wp:effectExtent l="0" t="0" r="0" b="9525"/>
            <wp:docPr id="13" name="图片 13"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片10"/>
                    <pic:cNvPicPr>
                      <a:picLocks noChangeAspect="1"/>
                    </pic:cNvPicPr>
                  </pic:nvPicPr>
                  <pic:blipFill>
                    <a:blip r:embed="rId24"/>
                    <a:stretch>
                      <a:fillRect/>
                    </a:stretch>
                  </pic:blipFill>
                  <pic:spPr>
                    <a:xfrm>
                      <a:off x="0" y="0"/>
                      <a:ext cx="2990850" cy="1571625"/>
                    </a:xfrm>
                    <a:prstGeom prst="rect">
                      <a:avLst/>
                    </a:prstGeom>
                  </pic:spPr>
                </pic:pic>
              </a:graphicData>
            </a:graphic>
          </wp:inline>
        </w:drawing>
      </w:r>
    </w:p>
    <w:p>
      <w:pPr>
        <w:pStyle w:val="7"/>
        <w:spacing w:before="10"/>
        <w:rPr>
          <w:rFonts w:hint="eastAsia" w:ascii="仿宋" w:hAnsi="仿宋" w:eastAsia="仿宋" w:cs="仿宋"/>
          <w:b/>
          <w:color w:val="auto"/>
          <w:sz w:val="28"/>
          <w:szCs w:val="28"/>
        </w:rPr>
      </w:pP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3</w:t>
      </w:r>
      <w:r>
        <w:rPr>
          <w:rFonts w:hint="eastAsia" w:ascii="仿宋" w:hAnsi="仿宋" w:eastAsia="仿宋" w:cs="仿宋"/>
          <w:b/>
          <w:color w:val="auto"/>
          <w:sz w:val="24"/>
          <w:szCs w:val="24"/>
        </w:rPr>
        <w:t xml:space="preserve"> 三船开口U形布放围油栏</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U-形围控是用两艘船舶并行拖带围油栏而成，围油栏的长度一般需要600m。与J形拖带相比，两艘船舶并行更容易保持正确的位置。第三艘船舶应置于U形的底部外侧，操作收油机。由于需要储存大量的回收油，因此，该船应有较大的舱容，避免经常更换回收船舶。</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开口的U形围控是由U形围控进一步发展而成的，两段围油栏在开口处分别向两侧伸展3-10 m，形成一个漏斗，利用绳索调整U-形底部，使其开口宽度为5-10 m，以减少湍流对浮油的影响。该形式能够控制溢油的流动，使回收工作更加容易，然后利用单侧围扫或双侧围扫进行回收。</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val="en-US" w:eastAsia="zh-CN"/>
        </w:rPr>
        <w:t xml:space="preserve">6.1.5.2 </w:t>
      </w:r>
      <w:r>
        <w:rPr>
          <w:rFonts w:hint="eastAsia" w:ascii="仿宋" w:hAnsi="仿宋" w:eastAsia="仿宋" w:cs="仿宋"/>
          <w:b/>
          <w:color w:val="auto"/>
          <w:sz w:val="28"/>
          <w:szCs w:val="28"/>
        </w:rPr>
        <w:t>近岸围油栏的布放形式</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近岸水域围油栏的布放形式取决于布放目的。如果用于围控，应采用岸滩围油栏与其他围油栏连接的形式；如果用于导流，应采用多层围油栏重叠布放形式。</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近岸围油栏布放方式与开阔水域有所不同，欲使围油栏的各布放方式起到应有作用，应考虑下面几种因素：</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1）所保护的水域环境情况，特别是布放水域的流向和流速，以便决定正确的布放角度。经验证明，在相对围油栏垂直方向的流速超过0.7 kn时，溢油将从围油栏下面逃逸，围控围油栏达不到围控溢油的目的。因此，在急流的沿海水域，布放围油栏应与流向有一定角度，以减小溢油相对围油栏的运动速度。流速越大，围油栏相对流速的夹角应越小。</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2）考虑当地水域的潮差和水深。在近岸、浅水区布放围油栏应考虑当地水域的潮差和水深是否满足围油栏的吃水要求，水深至少应是围油栏吃水的3倍深度。否则，围油栏将会失去作用。为防止溢油对河岸和潮间带的污染，应考虑使用岸滩式围油栏。</w:t>
      </w:r>
    </w:p>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bookmarkStart w:id="70" w:name="_Toc1447"/>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.1.6</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围油栏的布放</w:t>
      </w:r>
      <w:bookmarkEnd w:id="70"/>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根据围油栏的种类和使用区域，本公司布放围油栏的方法主要有从船舶上布放和从岸上布放两种。</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6.1.6.1 </w:t>
      </w:r>
      <w:r>
        <w:rPr>
          <w:rFonts w:hint="eastAsia" w:ascii="仿宋" w:hAnsi="仿宋" w:eastAsia="仿宋" w:cs="仿宋"/>
          <w:b/>
          <w:bCs/>
          <w:sz w:val="28"/>
          <w:szCs w:val="28"/>
        </w:rPr>
        <w:t>从船舶上布放</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sz w:val="28"/>
          <w:szCs w:val="28"/>
        </w:rPr>
        <w:t>本公司</w:t>
      </w:r>
      <w:r>
        <w:rPr>
          <w:rFonts w:hint="eastAsia" w:ascii="仿宋" w:hAnsi="仿宋" w:eastAsia="仿宋" w:cs="仿宋"/>
          <w:sz w:val="28"/>
          <w:szCs w:val="28"/>
          <w:lang w:eastAsia="zh-CN"/>
        </w:rPr>
        <w:t>配备有</w:t>
      </w:r>
      <w:r>
        <w:rPr>
          <w:rFonts w:hint="eastAsia" w:ascii="仿宋" w:hAnsi="仿宋" w:eastAsia="仿宋" w:cs="仿宋"/>
          <w:sz w:val="28"/>
          <w:szCs w:val="28"/>
        </w:rPr>
        <w:t>“</w:t>
      </w:r>
      <w:r>
        <w:rPr>
          <w:rFonts w:hint="eastAsia" w:ascii="仿宋" w:hAnsi="仿宋" w:eastAsia="仿宋" w:cs="仿宋"/>
          <w:sz w:val="28"/>
          <w:szCs w:val="28"/>
          <w:lang w:eastAsia="zh-CN"/>
        </w:rPr>
        <w:t>众和</w:t>
      </w:r>
      <w:r>
        <w:rPr>
          <w:rFonts w:hint="eastAsia" w:ascii="仿宋" w:hAnsi="仿宋" w:eastAsia="仿宋" w:cs="仿宋"/>
          <w:sz w:val="28"/>
          <w:szCs w:val="28"/>
        </w:rPr>
        <w:t>1”</w:t>
      </w:r>
      <w:r>
        <w:rPr>
          <w:rFonts w:hint="eastAsia" w:ascii="仿宋" w:hAnsi="仿宋" w:eastAsia="仿宋" w:cs="仿宋"/>
          <w:sz w:val="28"/>
          <w:szCs w:val="28"/>
          <w:lang w:eastAsia="zh-CN"/>
        </w:rPr>
        <w:t>专业清污</w:t>
      </w:r>
      <w:r>
        <w:rPr>
          <w:rFonts w:hint="eastAsia" w:ascii="仿宋" w:hAnsi="仿宋" w:eastAsia="仿宋" w:cs="仿宋"/>
          <w:sz w:val="28"/>
          <w:szCs w:val="28"/>
        </w:rPr>
        <w:t>船，以及</w:t>
      </w:r>
      <w:r>
        <w:rPr>
          <w:rFonts w:hint="eastAsia" w:ascii="仿宋" w:hAnsi="仿宋" w:eastAsia="仿宋" w:cs="仿宋"/>
          <w:sz w:val="28"/>
          <w:szCs w:val="28"/>
          <w:lang w:val="en-US" w:eastAsia="zh-CN"/>
        </w:rPr>
        <w:t>6</w:t>
      </w:r>
      <w:r>
        <w:rPr>
          <w:rFonts w:hint="eastAsia" w:ascii="仿宋" w:hAnsi="仿宋" w:eastAsia="仿宋" w:cs="仿宋"/>
          <w:sz w:val="28"/>
          <w:szCs w:val="28"/>
        </w:rPr>
        <w:t>条辅助船舶中的</w:t>
      </w:r>
      <w:r>
        <w:rPr>
          <w:rFonts w:hint="eastAsia" w:ascii="仿宋" w:hAnsi="仿宋" w:eastAsia="仿宋" w:cs="仿宋"/>
          <w:sz w:val="28"/>
          <w:szCs w:val="28"/>
          <w:lang w:val="en-US" w:eastAsia="zh-CN"/>
        </w:rPr>
        <w:t>3</w:t>
      </w:r>
      <w:r>
        <w:rPr>
          <w:rFonts w:hint="eastAsia" w:ascii="仿宋" w:hAnsi="仿宋" w:eastAsia="仿宋" w:cs="仿宋"/>
          <w:sz w:val="28"/>
          <w:szCs w:val="28"/>
        </w:rPr>
        <w:t>条具有围油栏布放功能</w:t>
      </w:r>
      <w:r>
        <w:rPr>
          <w:rFonts w:hint="eastAsia" w:ascii="仿宋" w:hAnsi="仿宋" w:eastAsia="仿宋" w:cs="仿宋"/>
          <w:sz w:val="28"/>
          <w:szCs w:val="28"/>
          <w:lang w:eastAsia="zh-CN"/>
        </w:rPr>
        <w:t>（</w:t>
      </w:r>
      <w:r>
        <w:rPr>
          <w:rFonts w:hint="eastAsia" w:ascii="仿宋" w:hAnsi="仿宋" w:eastAsia="仿宋" w:cs="仿宋"/>
          <w:sz w:val="28"/>
          <w:szCs w:val="28"/>
        </w:rPr>
        <w:t>详见表</w:t>
      </w:r>
      <w:r>
        <w:rPr>
          <w:rFonts w:hint="eastAsia" w:ascii="仿宋" w:hAnsi="仿宋" w:eastAsia="仿宋" w:cs="仿宋"/>
          <w:sz w:val="28"/>
          <w:szCs w:val="28"/>
          <w:lang w:val="en-US" w:eastAsia="zh-CN"/>
        </w:rPr>
        <w:t>6</w:t>
      </w:r>
      <w:r>
        <w:rPr>
          <w:rFonts w:hint="eastAsia" w:ascii="仿宋" w:hAnsi="仿宋" w:eastAsia="仿宋" w:cs="仿宋"/>
          <w:sz w:val="28"/>
          <w:szCs w:val="28"/>
        </w:rPr>
        <w:t>-4</w:t>
      </w:r>
      <w:r>
        <w:rPr>
          <w:rFonts w:hint="eastAsia" w:ascii="仿宋" w:hAnsi="仿宋" w:eastAsia="仿宋" w:cs="仿宋"/>
          <w:sz w:val="28"/>
          <w:szCs w:val="28"/>
          <w:lang w:eastAsia="zh-CN"/>
        </w:rPr>
        <w:t>）</w:t>
      </w:r>
      <w:r>
        <w:rPr>
          <w:rFonts w:hint="eastAsia" w:ascii="仿宋" w:hAnsi="仿宋" w:eastAsia="仿宋" w:cs="仿宋"/>
          <w:color w:val="auto"/>
          <w:sz w:val="28"/>
          <w:szCs w:val="28"/>
        </w:rPr>
        <w:t>。</w:t>
      </w:r>
    </w:p>
    <w:p>
      <w:pPr>
        <w:widowControl/>
        <w:autoSpaceDE/>
        <w:autoSpaceDN/>
        <w:spacing w:before="0" w:after="0" w:line="240" w:lineRule="auto"/>
        <w:ind w:left="0" w:right="0"/>
        <w:jc w:val="center"/>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表</w:t>
      </w:r>
      <w:r>
        <w:rPr>
          <w:rFonts w:hint="eastAsia" w:ascii="仿宋" w:hAnsi="仿宋" w:eastAsia="仿宋" w:cs="仿宋"/>
          <w:b/>
          <w:color w:val="auto"/>
          <w:sz w:val="28"/>
          <w:szCs w:val="28"/>
          <w:lang w:val="en-US" w:eastAsia="zh-CN" w:bidi="ar-SA"/>
        </w:rPr>
        <w:t>6</w:t>
      </w:r>
      <w:r>
        <w:rPr>
          <w:rFonts w:hint="eastAsia" w:ascii="仿宋" w:hAnsi="仿宋" w:eastAsia="仿宋" w:cs="仿宋"/>
          <w:b/>
          <w:color w:val="auto"/>
          <w:sz w:val="28"/>
          <w:szCs w:val="28"/>
          <w:lang w:val="en-US" w:bidi="ar-SA"/>
        </w:rPr>
        <w:t>-4 本公司可用于围油栏布放的船舶情况表</w:t>
      </w:r>
    </w:p>
    <w:tbl>
      <w:tblPr>
        <w:tblStyle w:val="13"/>
        <w:tblW w:w="9030" w:type="dxa"/>
        <w:tblInd w:w="121" w:type="dxa"/>
        <w:tblLayout w:type="autofit"/>
        <w:tblCellMar>
          <w:top w:w="0" w:type="dxa"/>
          <w:left w:w="108" w:type="dxa"/>
          <w:bottom w:w="0" w:type="dxa"/>
          <w:right w:w="108" w:type="dxa"/>
        </w:tblCellMar>
      </w:tblPr>
      <w:tblGrid>
        <w:gridCol w:w="780"/>
        <w:gridCol w:w="1210"/>
        <w:gridCol w:w="945"/>
        <w:gridCol w:w="1127"/>
        <w:gridCol w:w="951"/>
        <w:gridCol w:w="706"/>
        <w:gridCol w:w="3311"/>
      </w:tblGrid>
      <w:tr>
        <w:tblPrEx>
          <w:tblCellMar>
            <w:top w:w="0" w:type="dxa"/>
            <w:left w:w="108" w:type="dxa"/>
            <w:bottom w:w="0" w:type="dxa"/>
            <w:right w:w="108" w:type="dxa"/>
          </w:tblCellMar>
        </w:tblPrEx>
        <w:trPr>
          <w:tblHeader/>
        </w:trPr>
        <w:tc>
          <w:tcPr>
            <w:tcW w:w="780" w:type="dxa"/>
            <w:tcBorders>
              <w:top w:val="single" w:color="000000" w:sz="12"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编号</w:t>
            </w:r>
          </w:p>
        </w:tc>
        <w:tc>
          <w:tcPr>
            <w:tcW w:w="1210" w:type="dxa"/>
            <w:tcBorders>
              <w:top w:val="single" w:color="000000" w:sz="12"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船 名</w:t>
            </w:r>
          </w:p>
        </w:tc>
        <w:tc>
          <w:tcPr>
            <w:tcW w:w="945" w:type="dxa"/>
            <w:tcBorders>
              <w:top w:val="single" w:color="000000" w:sz="12"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船长度</w:t>
            </w:r>
          </w:p>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（m）</w:t>
            </w:r>
          </w:p>
        </w:tc>
        <w:tc>
          <w:tcPr>
            <w:tcW w:w="1127" w:type="dxa"/>
            <w:tcBorders>
              <w:top w:val="single" w:color="000000" w:sz="12"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满载</w:t>
            </w:r>
          </w:p>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吃水（m）</w:t>
            </w:r>
          </w:p>
        </w:tc>
        <w:tc>
          <w:tcPr>
            <w:tcW w:w="951" w:type="dxa"/>
            <w:tcBorders>
              <w:top w:val="single" w:color="000000" w:sz="12"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舱 容</w:t>
            </w:r>
          </w:p>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bCs/>
                <w:color w:val="auto"/>
                <w:sz w:val="24"/>
                <w:szCs w:val="24"/>
                <w:lang w:val="en-US" w:bidi="ar-SA"/>
              </w:rPr>
              <w:t>（m³）</w:t>
            </w:r>
          </w:p>
        </w:tc>
        <w:tc>
          <w:tcPr>
            <w:tcW w:w="706" w:type="dxa"/>
            <w:tcBorders>
              <w:top w:val="single" w:color="000000" w:sz="12"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最高</w:t>
            </w:r>
          </w:p>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航速</w:t>
            </w:r>
          </w:p>
        </w:tc>
        <w:tc>
          <w:tcPr>
            <w:tcW w:w="3311" w:type="dxa"/>
            <w:tcBorders>
              <w:top w:val="single" w:color="000000" w:sz="12"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功能/作用</w:t>
            </w:r>
          </w:p>
        </w:tc>
      </w:tr>
      <w:tr>
        <w:tblPrEx>
          <w:tblCellMar>
            <w:top w:w="0" w:type="dxa"/>
            <w:left w:w="108" w:type="dxa"/>
            <w:bottom w:w="0" w:type="dxa"/>
            <w:right w:w="108" w:type="dxa"/>
          </w:tblCellMar>
        </w:tblPrEx>
        <w:trPr>
          <w:trHeight w:val="521" w:hRule="atLeast"/>
        </w:trPr>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1</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right="0"/>
              <w:jc w:val="center"/>
              <w:rPr>
                <w:rFonts w:hint="eastAsia" w:ascii="仿宋" w:hAnsi="仿宋" w:eastAsia="仿宋" w:cs="仿宋"/>
                <w:color w:val="auto"/>
                <w:sz w:val="24"/>
                <w:szCs w:val="24"/>
                <w:lang w:val="en-US" w:bidi="ar-SA"/>
              </w:rPr>
            </w:pPr>
            <w:r>
              <w:rPr>
                <w:rFonts w:hint="eastAsia" w:ascii="仿宋" w:hAnsi="仿宋" w:eastAsia="仿宋" w:cs="仿宋"/>
                <w:sz w:val="24"/>
                <w:szCs w:val="24"/>
                <w:lang w:val="en-US" w:eastAsia="zh-CN"/>
              </w:rPr>
              <w:t>众和</w:t>
            </w:r>
            <w:r>
              <w:rPr>
                <w:rFonts w:hint="eastAsia" w:ascii="仿宋" w:hAnsi="仿宋" w:eastAsia="仿宋" w:cs="仿宋"/>
                <w:sz w:val="24"/>
                <w:szCs w:val="24"/>
                <w:lang w:val="en-US"/>
              </w:rPr>
              <w:t>1</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46.5</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2.95</w:t>
            </w: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502</w:t>
            </w: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12</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溢油应急处置船</w:t>
            </w:r>
          </w:p>
        </w:tc>
      </w:tr>
      <w:tr>
        <w:tblPrEx>
          <w:tblCellMar>
            <w:top w:w="0" w:type="dxa"/>
            <w:left w:w="108" w:type="dxa"/>
            <w:bottom w:w="0" w:type="dxa"/>
            <w:right w:w="108" w:type="dxa"/>
          </w:tblCellMar>
        </w:tblPrEx>
        <w:trPr>
          <w:trHeight w:val="416" w:hRule="atLeast"/>
        </w:trPr>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众和3</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19.10</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1.85</w:t>
            </w: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28</w:t>
            </w: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10</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围油栏布控及污染物处置船</w:t>
            </w:r>
          </w:p>
        </w:tc>
      </w:tr>
      <w:tr>
        <w:tblPrEx>
          <w:tblCellMar>
            <w:top w:w="0" w:type="dxa"/>
            <w:left w:w="108" w:type="dxa"/>
            <w:bottom w:w="0" w:type="dxa"/>
            <w:right w:w="108" w:type="dxa"/>
          </w:tblCellMar>
        </w:tblPrEx>
        <w:trPr>
          <w:trHeight w:val="476" w:hRule="atLeast"/>
        </w:trPr>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3</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众和6</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23.2</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2.45</w:t>
            </w: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82</w:t>
            </w: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7</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围油栏布控及污染物处置船</w:t>
            </w:r>
          </w:p>
        </w:tc>
      </w:tr>
      <w:tr>
        <w:tblPrEx>
          <w:tblCellMar>
            <w:top w:w="0" w:type="dxa"/>
            <w:left w:w="108" w:type="dxa"/>
            <w:bottom w:w="0" w:type="dxa"/>
            <w:right w:w="108" w:type="dxa"/>
          </w:tblCellMar>
        </w:tblPrEx>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4</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浙玉交1001</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19.80</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10</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吸附材料布放和回收船、辅助布放围油栏</w:t>
            </w:r>
          </w:p>
        </w:tc>
      </w:tr>
      <w:tr>
        <w:tblPrEx>
          <w:tblCellMar>
            <w:top w:w="0" w:type="dxa"/>
            <w:left w:w="108" w:type="dxa"/>
            <w:bottom w:w="0" w:type="dxa"/>
            <w:right w:w="108" w:type="dxa"/>
          </w:tblCellMar>
        </w:tblPrEx>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5</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bidi="ar-SA"/>
              </w:rPr>
            </w:pPr>
            <w:r>
              <w:rPr>
                <w:rFonts w:hint="eastAsia" w:ascii="仿宋" w:hAnsi="仿宋" w:eastAsia="仿宋" w:cs="仿宋"/>
                <w:color w:val="auto"/>
                <w:sz w:val="24"/>
                <w:szCs w:val="24"/>
                <w:lang w:val="en-US" w:eastAsia="zh-CN" w:bidi="ar-SA"/>
              </w:rPr>
              <w:t>浙玉渔运60001</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26.3</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1.80</w:t>
            </w: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10</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吸附材料布放和回收船</w:t>
            </w:r>
          </w:p>
        </w:tc>
      </w:tr>
      <w:tr>
        <w:tblPrEx>
          <w:tblCellMar>
            <w:top w:w="0" w:type="dxa"/>
            <w:left w:w="108" w:type="dxa"/>
            <w:bottom w:w="0" w:type="dxa"/>
            <w:right w:w="108" w:type="dxa"/>
          </w:tblCellMar>
        </w:tblPrEx>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6</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浙玉渔运60089</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26.6</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1.70</w:t>
            </w: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10.5</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吸附材料布放和回收船</w:t>
            </w:r>
          </w:p>
        </w:tc>
      </w:tr>
      <w:tr>
        <w:tblPrEx>
          <w:tblCellMar>
            <w:top w:w="0" w:type="dxa"/>
            <w:left w:w="108" w:type="dxa"/>
            <w:bottom w:w="0" w:type="dxa"/>
            <w:right w:w="108" w:type="dxa"/>
          </w:tblCellMar>
        </w:tblPrEx>
        <w:trPr>
          <w:trHeight w:val="597" w:hRule="atLeast"/>
        </w:trPr>
        <w:tc>
          <w:tcPr>
            <w:tcW w:w="780" w:type="dxa"/>
            <w:tcBorders>
              <w:top w:val="single" w:color="000000" w:sz="6" w:space="0"/>
              <w:left w:val="single" w:color="000000" w:sz="12" w:space="0"/>
              <w:bottom w:val="single" w:color="000000" w:sz="12"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7</w:t>
            </w:r>
          </w:p>
        </w:tc>
        <w:tc>
          <w:tcPr>
            <w:tcW w:w="1210" w:type="dxa"/>
            <w:tcBorders>
              <w:top w:val="single" w:color="000000" w:sz="6" w:space="0"/>
              <w:left w:val="single" w:color="000000" w:sz="6" w:space="0"/>
              <w:bottom w:val="single" w:color="000000" w:sz="12"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浙玉渔运</w:t>
            </w:r>
          </w:p>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10399</w:t>
            </w:r>
          </w:p>
        </w:tc>
        <w:tc>
          <w:tcPr>
            <w:tcW w:w="945" w:type="dxa"/>
            <w:tcBorders>
              <w:top w:val="single" w:color="000000" w:sz="6" w:space="0"/>
              <w:left w:val="single" w:color="000000" w:sz="6" w:space="0"/>
              <w:bottom w:val="single" w:color="000000" w:sz="12"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25.2</w:t>
            </w:r>
          </w:p>
        </w:tc>
        <w:tc>
          <w:tcPr>
            <w:tcW w:w="1127" w:type="dxa"/>
            <w:tcBorders>
              <w:top w:val="single" w:color="000000" w:sz="6" w:space="0"/>
              <w:left w:val="single" w:color="000000" w:sz="6" w:space="0"/>
              <w:bottom w:val="single" w:color="000000" w:sz="12"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1.70</w:t>
            </w:r>
          </w:p>
        </w:tc>
        <w:tc>
          <w:tcPr>
            <w:tcW w:w="951" w:type="dxa"/>
            <w:tcBorders>
              <w:top w:val="single" w:color="000000" w:sz="6" w:space="0"/>
              <w:left w:val="single" w:color="000000" w:sz="6" w:space="0"/>
              <w:bottom w:val="single" w:color="000000" w:sz="12"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p>
        </w:tc>
        <w:tc>
          <w:tcPr>
            <w:tcW w:w="706" w:type="dxa"/>
            <w:tcBorders>
              <w:top w:val="single" w:color="000000" w:sz="6" w:space="0"/>
              <w:left w:val="single" w:color="000000" w:sz="6" w:space="0"/>
              <w:bottom w:val="single" w:color="000000" w:sz="12"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10.5</w:t>
            </w:r>
          </w:p>
        </w:tc>
        <w:tc>
          <w:tcPr>
            <w:tcW w:w="3311" w:type="dxa"/>
            <w:tcBorders>
              <w:top w:val="single" w:color="000000" w:sz="6" w:space="0"/>
              <w:left w:val="single" w:color="000000" w:sz="6" w:space="0"/>
              <w:bottom w:val="single" w:color="000000" w:sz="12" w:space="0"/>
              <w:right w:val="single" w:color="000000" w:sz="12"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吸附材料布放和回收船</w:t>
            </w:r>
          </w:p>
        </w:tc>
      </w:tr>
    </w:tbl>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color w:val="auto"/>
          <w:sz w:val="28"/>
          <w:szCs w:val="28"/>
        </w:rPr>
      </w:pP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从船舶上布放，围油栏存放并固定在船舶甲板上。使用船舶布放围油栏应遵循下列几个步骤：</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1）拖带船舶的选择。布放围油栏时，正确选择拖带船舶，也是实现有效围控的关键。拖带船的选择，一般可按每200（牛顿）拖带力相当于船内发动机1个标注额定马力来计算。例如单船拖带具有20000（牛顿）阻力的围油栏，必须选用一艘具有100马力以上的拖带船。如采用双船进行U形拖带具有40000（牛顿）阻力的围油栏，必须选用两艘都具有1000马力以上的拖带船。</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2）布放方案的确定。主拖船负责围油栏的具体布放和操作，其它辅助船服从主拖船的统一指挥。主、辅助拖船上的作业人员一定要事先确定，具有布放围油栏的实践经验和操作能力，并保持通讯畅通。</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3）布放前的准备。将围油栏等相关设备系固在船舶的甲板上。如果布放船甲板上没有围油栏加固点。应设置加固设备，以防围油栏操作过程中被意外拖进水中。</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使用栅栏式围油栏和固体浮子式围油栏，围油栏储存装置可以放在船舶尾部。</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使用充气式围油栏，其储存装置和船尾之间通常需要较大的甲板空间，便于布放操作。所需甲板空间取决于围油栏单个气室的长度，通常为5-6 m。</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最后将拖带设备与围油栏本体系牢。布放带有配重链的围油栏时，应将拖带设备与配重链连接，在布放前一定要检查这种连接。</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4）布放。在开始布放围油栏过程中，布放船应慢速航行。待围油栏放出10至20 m后，再稍微加大船速，通过水对围油栏的阻力作用将剩余的围油栏拖出。在不围油的情况下，围油栏的直线拖带速度，一般为5 kn左右，破断拉力强的围油栏直线拖带速度可达7-8 kn，但不超过10 kn，曲线拖带速度为3-4 kn，U形拖带速度小于2 kn。拖带时，应防止将围油栏和拖带设备缠入螺旋桨内。</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该法不需要辅助船，使用辅助船舶可以使布放操作更加容易和安全。使用辅助船舶时，两船应保持通讯联系，以避免发生事故。</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如果布放固体浮子式围油栏，不需要做任何其它操作，可以立即布放。</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当甲板上储有多个围油栏，应放在船舶的一侧，以便于围油栏间的相互连接。布放时先从船舶尾部的围油栏开始，然后布放紧连在一起的围油栏。</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如果布放充气式围油栏，要使用充气机充气，绞车应慢速转动。当围油栏布放到最后几节时，应谨慎操作，避免围油栏船上的一端落入水中。</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围油栏的拖绳一定要事先与船舶甲板连接牢固。当布放围油栏最后一节时，先布放自由漂浮的拖绳，然后将围油栏的拖绳系固在缆桩上或类似物体上，并系牢在辅助拖船上。这时布放成型的围油栏便可开始围控作业。</w:t>
      </w:r>
    </w:p>
    <w:p>
      <w:pPr>
        <w:keepLines w:val="0"/>
        <w:pageBreakBefore w:val="0"/>
        <w:widowControl/>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val="en-US" w:eastAsia="zh-CN"/>
        </w:rPr>
        <w:t xml:space="preserve">6.1.6.2 </w:t>
      </w:r>
      <w:r>
        <w:rPr>
          <w:rFonts w:hint="eastAsia" w:ascii="仿宋" w:hAnsi="仿宋" w:eastAsia="仿宋" w:cs="仿宋"/>
          <w:b/>
          <w:color w:val="auto"/>
          <w:sz w:val="28"/>
          <w:szCs w:val="28"/>
        </w:rPr>
        <w:t>从岸上布放</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从岸上布放围油栏与从船舶上布放围油栏相比更为复杂。事先选择好布放围油栏的地点。利用船舶将围油栏逆流从岸上拖入水中，并围控成需要的形状。</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布放围油栏的程序基本与从船舶布放围油栏的程序相同，不同的是需要一艘辅助船舶。岸线上有一人进行指挥并与船舶保持联系。</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当围油栏的一端固定在岸上时，辅助船舶拖带围油栏并保持围油栏处于正确的位置。在流速非常急（3-6 kn）的近岸区域，布放200 m的围油栏需要动力大的船舶来保持围油栏的正确位置。</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在具有潮汐变化大的码头区域，还应考虑潮差。</w:t>
      </w:r>
    </w:p>
    <w:p>
      <w:pPr>
        <w:pStyle w:val="27"/>
        <w:keepLines w:val="0"/>
        <w:pageBreakBefore w:val="0"/>
        <w:widowControl/>
        <w:kinsoku/>
        <w:wordWrap/>
        <w:overflowPunct/>
        <w:topLinePunct w:val="0"/>
        <w:autoSpaceDE/>
        <w:autoSpaceDN/>
        <w:bidi w:val="0"/>
        <w:adjustRightInd/>
        <w:snapToGrid/>
        <w:spacing w:before="0" w:after="0" w:line="360" w:lineRule="auto"/>
        <w:ind w:left="0" w:leftChars="0" w:firstLine="562" w:firstLineChars="200"/>
        <w:jc w:val="both"/>
        <w:textAlignment w:val="auto"/>
        <w:rPr>
          <w:rFonts w:hint="eastAsia" w:ascii="仿宋" w:hAnsi="仿宋" w:eastAsia="仿宋" w:cs="仿宋"/>
          <w:color w:val="auto"/>
          <w:sz w:val="28"/>
          <w:szCs w:val="28"/>
        </w:rPr>
      </w:pPr>
      <w:bookmarkStart w:id="71" w:name="_Toc5375"/>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.1.7</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围油栏用锚</w:t>
      </w:r>
      <w:bookmarkEnd w:id="71"/>
    </w:p>
    <w:p>
      <w:pPr>
        <w:spacing w:line="360" w:lineRule="auto"/>
        <w:ind w:firstLine="560" w:firstLineChars="200"/>
        <w:jc w:val="both"/>
        <w:rPr>
          <w:rFonts w:hint="eastAsia" w:ascii="仿宋" w:hAnsi="仿宋" w:eastAsia="仿宋" w:cs="仿宋"/>
          <w:b/>
          <w:color w:val="auto"/>
          <w:sz w:val="28"/>
          <w:szCs w:val="28"/>
        </w:rPr>
      </w:pPr>
      <w:r>
        <w:rPr>
          <w:rFonts w:hint="eastAsia" w:ascii="仿宋" w:hAnsi="仿宋" w:eastAsia="仿宋" w:cs="仿宋"/>
          <w:color w:val="auto"/>
          <w:sz w:val="28"/>
          <w:szCs w:val="28"/>
        </w:rPr>
        <w:t>围油栏的各种布放形式中，由于风、流等诸多因素的影响，围油栏很难保持预定的形状，实现围控溢油的作用。考虑到用船舶保持围油栏的布放形状费用很高，本公司使用锚固定围油栏。因此，在围控比较固定的溢油源情况下，用锚来保持围油栏的围控形状。详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lang w:eastAsia="zh-CN"/>
        </w:rPr>
        <w:t>。</w:t>
      </w: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-5 本公司围油栏配套的锚情况表</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118"/>
        <w:gridCol w:w="1886"/>
        <w:gridCol w:w="1886"/>
        <w:gridCol w:w="311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943"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备件名称</w:t>
            </w:r>
          </w:p>
        </w:tc>
        <w:tc>
          <w:tcPr>
            <w:tcW w:w="1943"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3217"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锚25kg</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5</w:t>
            </w:r>
          </w:p>
        </w:tc>
        <w:tc>
          <w:tcPr>
            <w:tcW w:w="321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锚50kg</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5</w:t>
            </w:r>
          </w:p>
        </w:tc>
        <w:tc>
          <w:tcPr>
            <w:tcW w:w="321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3</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锚7</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kg</w:t>
            </w:r>
          </w:p>
        </w:tc>
        <w:tc>
          <w:tcPr>
            <w:tcW w:w="1943" w:type="dxa"/>
            <w:tcBorders>
              <w:tl2br w:val="nil"/>
              <w:tr2bl w:val="nil"/>
            </w:tcBorders>
            <w:noWrap w:val="0"/>
            <w:vAlign w:val="center"/>
          </w:tcPr>
          <w:p>
            <w:pPr>
              <w:spacing w:line="240" w:lineRule="auto"/>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20</w:t>
            </w:r>
          </w:p>
        </w:tc>
        <w:tc>
          <w:tcPr>
            <w:tcW w:w="321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4</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浮球</w:t>
            </w:r>
          </w:p>
        </w:tc>
        <w:tc>
          <w:tcPr>
            <w:tcW w:w="1943" w:type="dxa"/>
            <w:tcBorders>
              <w:tl2br w:val="nil"/>
              <w:tr2bl w:val="nil"/>
            </w:tcBorders>
            <w:noWrap w:val="0"/>
            <w:vAlign w:val="center"/>
          </w:tcPr>
          <w:p>
            <w:pPr>
              <w:spacing w:line="240" w:lineRule="auto"/>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20</w:t>
            </w:r>
          </w:p>
        </w:tc>
        <w:tc>
          <w:tcPr>
            <w:tcW w:w="321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5</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rPr>
              <w:t>锚链</w:t>
            </w:r>
            <w:r>
              <w:rPr>
                <w:rFonts w:hint="eastAsia" w:ascii="仿宋" w:hAnsi="仿宋" w:eastAsia="仿宋" w:cs="仿宋"/>
                <w:color w:val="auto"/>
                <w:sz w:val="24"/>
                <w:szCs w:val="24"/>
                <w:lang w:eastAsia="zh-CN"/>
              </w:rPr>
              <w:t>或锚绳</w:t>
            </w:r>
          </w:p>
        </w:tc>
        <w:tc>
          <w:tcPr>
            <w:tcW w:w="1943" w:type="dxa"/>
            <w:tcBorders>
              <w:tl2br w:val="nil"/>
              <w:tr2bl w:val="nil"/>
            </w:tcBorders>
            <w:noWrap w:val="0"/>
            <w:vAlign w:val="center"/>
          </w:tcPr>
          <w:p>
            <w:pPr>
              <w:spacing w:line="240" w:lineRule="auto"/>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500</w:t>
            </w:r>
          </w:p>
        </w:tc>
        <w:tc>
          <w:tcPr>
            <w:tcW w:w="321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r>
    </w:tbl>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用锚时，首先掌握海底结构（沙、石或岩石）、流向、流速和水深等有关情况，以保证锚的效用和安全。锚的使用有两种情况：</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（1）如果围油栏布放水域的流向为单向，锚必须放在围油栏面向流向的一侧；</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（2）如果流向变化，如潮间带，围油栏两侧都要设锚。多数围油栏都有挂锚座或可供连接锚的围油栏接头。</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锚的使用数量和大小取决于作用在围油栏上的力（风、流、波浪）、流向、围油栏的长度、船舶大小等因素。一般情况下，浮子式围油栏（高度为1.2 m左右）40-80 m抛一个或两个锚。充气式围油栏（高度为2 m）100 m可以抛2-4个锚。</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按照JT/T465-2001《围油栏》对围油栏用锚的要求，使用人工投放和回收锚，其单锚重量不宜超过150 kg。锚的类型可以是大抓力锚、渔具锚或燕尾锚、海军锚、丹福斯锚、四爪锚、单臂锚。通常使用20-100 kg的有提升装置的锚。</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锚的抓力主要取决于锚杆与海底的角度，最适宜的角度为0度，如果锚杆被提起超过10％，锚的抓力明显减少。用锚链与锚杆连接可以减少锚杆的移动，同样，使用系锚球可以防止锚杆被提起，系锚球能够在围油栏与锚绳之间形成一定角度，这个角度能够减少围油栏系统移动对锚系统造成的影响，如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-4所示。</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b/>
          <w:color w:val="auto"/>
          <w:sz w:val="28"/>
          <w:szCs w:val="28"/>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049905" cy="1600200"/>
            <wp:effectExtent l="0" t="0" r="17145" b="0"/>
            <wp:docPr id="14" name="图片 14" descr="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11"/>
                    <pic:cNvPicPr>
                      <a:picLocks noChangeAspect="1"/>
                    </pic:cNvPicPr>
                  </pic:nvPicPr>
                  <pic:blipFill>
                    <a:blip r:embed="rId25"/>
                    <a:stretch>
                      <a:fillRect/>
                    </a:stretch>
                  </pic:blipFill>
                  <pic:spPr>
                    <a:xfrm>
                      <a:off x="0" y="0"/>
                      <a:ext cx="3049905" cy="1600200"/>
                    </a:xfrm>
                    <a:prstGeom prst="rect">
                      <a:avLst/>
                    </a:prstGeom>
                  </pic:spPr>
                </pic:pic>
              </a:graphicData>
            </a:graphic>
          </wp:inline>
        </w:drawing>
      </w:r>
    </w:p>
    <w:p>
      <w:pPr>
        <w:spacing w:line="480" w:lineRule="exact"/>
        <w:jc w:val="center"/>
        <w:rPr>
          <w:rFonts w:hint="eastAsia" w:ascii="仿宋" w:hAnsi="仿宋" w:eastAsia="仿宋" w:cs="仿宋"/>
          <w:b/>
          <w:color w:val="auto"/>
          <w:sz w:val="24"/>
          <w:szCs w:val="24"/>
          <w:lang w:val="en-US" w:eastAsia="zh-CN"/>
        </w:rPr>
      </w:pPr>
      <w:r>
        <w:rPr>
          <w:rFonts w:hint="eastAsia" w:ascii="仿宋" w:hAnsi="仿宋" w:eastAsia="仿宋" w:cs="仿宋"/>
          <w:b/>
          <w:color w:val="auto"/>
          <w:sz w:val="24"/>
          <w:szCs w:val="24"/>
          <w:lang w:val="en-US" w:eastAsia="zh-CN"/>
        </w:rPr>
        <w:t>图6-4 围油栏用锚的布放形式</w:t>
      </w:r>
    </w:p>
    <w:p>
      <w:pPr>
        <w:pStyle w:val="7"/>
        <w:spacing w:before="12"/>
        <w:rPr>
          <w:rFonts w:hint="eastAsia" w:ascii="仿宋" w:hAnsi="仿宋" w:eastAsia="仿宋" w:cs="仿宋"/>
          <w:b/>
          <w:color w:val="auto"/>
          <w:sz w:val="28"/>
          <w:szCs w:val="28"/>
        </w:rPr>
      </w:pP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为防止因波浪作用将锚提起，连接锚和系锚球的绳子长度至少应是水深的3倍，不同海况下的锚绳长度：</w:t>
      </w:r>
    </w:p>
    <w:p>
      <w:pPr>
        <w:keepLines w:val="0"/>
        <w:pageBreakBefore w:val="0"/>
        <w:widowControl w:val="0"/>
        <w:numPr>
          <w:ilvl w:val="3"/>
          <w:numId w:val="4"/>
        </w:numPr>
        <w:tabs>
          <w:tab w:val="left" w:pos="900"/>
          <w:tab w:val="clear" w:pos="1620"/>
        </w:tabs>
        <w:kinsoku/>
        <w:wordWrap/>
        <w:overflowPunct/>
        <w:topLinePunct w:val="0"/>
        <w:autoSpaceDE/>
        <w:autoSpaceDN/>
        <w:bidi w:val="0"/>
        <w:adjustRightInd/>
        <w:snapToGrid/>
        <w:spacing w:line="360" w:lineRule="auto"/>
        <w:ind w:hanging="108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一般海况，锚绳长度是水深的5倍；</w:t>
      </w:r>
    </w:p>
    <w:p>
      <w:pPr>
        <w:keepLines w:val="0"/>
        <w:pageBreakBefore w:val="0"/>
        <w:widowControl w:val="0"/>
        <w:numPr>
          <w:ilvl w:val="3"/>
          <w:numId w:val="4"/>
        </w:numPr>
        <w:tabs>
          <w:tab w:val="left" w:pos="900"/>
          <w:tab w:val="clear" w:pos="1620"/>
        </w:tabs>
        <w:kinsoku/>
        <w:wordWrap/>
        <w:overflowPunct/>
        <w:topLinePunct w:val="0"/>
        <w:autoSpaceDE/>
        <w:autoSpaceDN/>
        <w:bidi w:val="0"/>
        <w:adjustRightInd/>
        <w:snapToGrid/>
        <w:spacing w:line="360" w:lineRule="auto"/>
        <w:ind w:hanging="108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平静水域，锚绳长度是水深的3倍；</w:t>
      </w:r>
    </w:p>
    <w:p>
      <w:pPr>
        <w:keepLines w:val="0"/>
        <w:pageBreakBefore w:val="0"/>
        <w:widowControl w:val="0"/>
        <w:numPr>
          <w:ilvl w:val="3"/>
          <w:numId w:val="4"/>
        </w:numPr>
        <w:tabs>
          <w:tab w:val="left" w:pos="900"/>
          <w:tab w:val="clear" w:pos="1620"/>
        </w:tabs>
        <w:kinsoku/>
        <w:wordWrap/>
        <w:overflowPunct/>
        <w:topLinePunct w:val="0"/>
        <w:autoSpaceDE/>
        <w:autoSpaceDN/>
        <w:bidi w:val="0"/>
        <w:adjustRightInd/>
        <w:snapToGrid/>
        <w:spacing w:line="360" w:lineRule="auto"/>
        <w:ind w:hanging="108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恶劣海况下，锚绳长度是水深的7倍。</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系锚球的大小由锚的重量决定，通常系锚球的体积为60至250 L。从安全角度考虑，为防止回收锚时间过长而影响围油栏的快速移动，通常在系锚球与围油栏之间使用快速释放装置，如卸扣。</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锚的使用过程中，有可能出现锚绳断开或被卡住的情况。为了便于回收锚，通常用抛锚浮子标示锚的位置；当锚被卡住时，借助抛锚浮子通过提锚绳从相反方向回收锚。锚与抛锚浮子之间的绳子长度应至少是水深的2倍。</w:t>
      </w:r>
    </w:p>
    <w:p>
      <w:pPr>
        <w:pStyle w:val="27"/>
        <w:keepLines w:val="0"/>
        <w:pageBreakBefore w:val="0"/>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bookmarkStart w:id="72" w:name="_Toc17139"/>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.1.8</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围油栏失效</w:t>
      </w:r>
      <w:bookmarkEnd w:id="72"/>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本公司依照应急领导小组的决策，迅速到达围控点采取围控行动，并密切关注围控的有效性。</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围控失效主要表现为：携带逃逸、泄漏、飞溅、围油栏倾倒、围油栏沉没、围油栏结构损坏等。</w:t>
      </w:r>
    </w:p>
    <w:p>
      <w:pPr>
        <w:spacing w:line="360" w:lineRule="auto"/>
        <w:ind w:firstLine="560" w:firstLineChars="200"/>
        <w:jc w:val="both"/>
        <w:rPr>
          <w:rFonts w:hint="eastAsia" w:ascii="仿宋" w:hAnsi="仿宋" w:eastAsia="仿宋" w:cs="仿宋"/>
          <w:b/>
          <w:bCs/>
          <w:color w:val="auto"/>
          <w:sz w:val="28"/>
          <w:szCs w:val="28"/>
          <w:lang w:val="en-US" w:eastAsia="zh-CN"/>
        </w:rPr>
      </w:pPr>
      <w:r>
        <w:rPr>
          <w:rFonts w:hint="eastAsia" w:ascii="仿宋" w:hAnsi="仿宋" w:eastAsia="仿宋" w:cs="仿宋"/>
          <w:color w:val="auto"/>
          <w:sz w:val="28"/>
          <w:szCs w:val="28"/>
        </w:rPr>
        <w:t>一旦发生围控失效，现场作业小组马上报告应急领导小组，填报围控失效报告信息表（见附表2），同时分析、查找围控失效原因。由应急小组决定如何采取进一步的措施。现场围控小组和应急领导组之间，要保持通信、交流合作，为进一步围控的有效性提供重要依据。</w:t>
      </w:r>
      <w:bookmarkStart w:id="73" w:name="_Toc15441"/>
      <w:bookmarkStart w:id="74" w:name="_Toc28150"/>
      <w:bookmarkStart w:id="75" w:name="_Toc7558"/>
    </w:p>
    <w:p>
      <w:pPr>
        <w:spacing w:line="360" w:lineRule="auto"/>
        <w:ind w:firstLine="562" w:firstLineChars="200"/>
        <w:jc w:val="both"/>
        <w:outlineLvl w:val="1"/>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海上回收和溢油清除方案</w:t>
      </w:r>
      <w:bookmarkEnd w:id="73"/>
      <w:bookmarkEnd w:id="74"/>
      <w:bookmarkEnd w:id="75"/>
    </w:p>
    <w:p>
      <w:pPr>
        <w:spacing w:line="360" w:lineRule="auto"/>
        <w:ind w:firstLine="562" w:firstLineChars="200"/>
        <w:jc w:val="both"/>
        <w:rPr>
          <w:rFonts w:hint="eastAsia" w:ascii="仿宋" w:hAnsi="仿宋" w:eastAsia="仿宋" w:cs="仿宋"/>
          <w:b/>
          <w:bCs/>
          <w:color w:val="auto"/>
          <w:sz w:val="28"/>
          <w:szCs w:val="28"/>
        </w:rPr>
      </w:pPr>
      <w:bookmarkStart w:id="76" w:name="_Toc16627"/>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.2.1</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机械清除海上溢油</w:t>
      </w:r>
      <w:bookmarkEnd w:id="76"/>
    </w:p>
    <w:p>
      <w:pPr>
        <w:spacing w:line="360" w:lineRule="auto"/>
        <w:ind w:firstLine="562" w:firstLineChars="200"/>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6.2.1.1 </w:t>
      </w:r>
      <w:r>
        <w:rPr>
          <w:rFonts w:hint="eastAsia" w:ascii="仿宋" w:hAnsi="仿宋" w:eastAsia="仿宋" w:cs="仿宋"/>
          <w:b/>
          <w:bCs/>
          <w:color w:val="auto"/>
          <w:sz w:val="28"/>
          <w:szCs w:val="28"/>
        </w:rPr>
        <w:t>本公司收油机配备情况</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本公司机械清除海上溢油的设备主要为收油机，包括转盘式收油机2台和动态斜面收油机</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台</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详见表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-6</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w:t>
      </w:r>
    </w:p>
    <w:p>
      <w:pPr>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-6 本公司收油机</w:t>
      </w:r>
      <w:r>
        <w:rPr>
          <w:rFonts w:hint="eastAsia" w:ascii="仿宋" w:hAnsi="仿宋" w:eastAsia="仿宋" w:cs="仿宋"/>
          <w:b/>
          <w:color w:val="auto"/>
          <w:sz w:val="28"/>
          <w:szCs w:val="28"/>
          <w:lang w:eastAsia="zh-CN"/>
        </w:rPr>
        <w:t>配备</w:t>
      </w:r>
      <w:r>
        <w:rPr>
          <w:rFonts w:hint="eastAsia" w:ascii="仿宋" w:hAnsi="仿宋" w:eastAsia="仿宋" w:cs="仿宋"/>
          <w:b/>
          <w:color w:val="auto"/>
          <w:sz w:val="28"/>
          <w:szCs w:val="28"/>
        </w:rPr>
        <w:t>情况表</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53"/>
        <w:gridCol w:w="1062"/>
        <w:gridCol w:w="1078"/>
        <w:gridCol w:w="833"/>
        <w:gridCol w:w="857"/>
        <w:gridCol w:w="432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83"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975"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990"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765"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787"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生产</w:t>
            </w:r>
          </w:p>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厂家</w:t>
            </w:r>
          </w:p>
        </w:tc>
        <w:tc>
          <w:tcPr>
            <w:tcW w:w="396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性能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975"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转盘式</w:t>
            </w:r>
          </w:p>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收油机</w:t>
            </w:r>
          </w:p>
        </w:tc>
        <w:tc>
          <w:tcPr>
            <w:tcW w:w="99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ZSJ50</w:t>
            </w:r>
          </w:p>
        </w:tc>
        <w:tc>
          <w:tcPr>
            <w:tcW w:w="76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2台</w:t>
            </w:r>
          </w:p>
        </w:tc>
        <w:tc>
          <w:tcPr>
            <w:tcW w:w="78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华海</w:t>
            </w:r>
          </w:p>
        </w:tc>
        <w:tc>
          <w:tcPr>
            <w:tcW w:w="3969"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可回收燃油、润滑油、原油、植物油等流动油，回收率高，收回油中游离水含量低，收油机吃浅水，具有良好的乘波型，重量轻，易调动。溢油回收能力50m³/h。</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975"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动态斜面收油机</w:t>
            </w:r>
          </w:p>
        </w:tc>
        <w:tc>
          <w:tcPr>
            <w:tcW w:w="99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DXS150</w:t>
            </w:r>
          </w:p>
        </w:tc>
        <w:tc>
          <w:tcPr>
            <w:tcW w:w="76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台</w:t>
            </w:r>
          </w:p>
        </w:tc>
        <w:tc>
          <w:tcPr>
            <w:tcW w:w="78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华海</w:t>
            </w:r>
          </w:p>
        </w:tc>
        <w:tc>
          <w:tcPr>
            <w:tcW w:w="3969"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适用于任何黏度的溢油回收。最大溢油回收率150m³/h，有效溢油回收速度1-3节，溢油回收效率接近99%，彻底性效率74</w:t>
            </w:r>
            <w:r>
              <w:rPr>
                <w:rFonts w:hint="eastAsia" w:ascii="仿宋" w:hAnsi="仿宋" w:eastAsia="仿宋" w:cs="仿宋"/>
                <w:color w:val="auto"/>
                <w:sz w:val="24"/>
                <w:szCs w:val="24"/>
                <w:lang w:val="en-US" w:eastAsia="zh-CN"/>
              </w:rPr>
              <w:t>~</w:t>
            </w:r>
            <w:r>
              <w:rPr>
                <w:rFonts w:hint="eastAsia" w:ascii="仿宋" w:hAnsi="仿宋" w:eastAsia="仿宋" w:cs="仿宋"/>
                <w:color w:val="auto"/>
                <w:sz w:val="24"/>
                <w:szCs w:val="24"/>
              </w:rPr>
              <w:t>94%</w:t>
            </w:r>
          </w:p>
        </w:tc>
      </w:tr>
    </w:tbl>
    <w:p>
      <w:pPr>
        <w:spacing w:after="0" w:line="358" w:lineRule="exact"/>
        <w:jc w:val="left"/>
        <w:rPr>
          <w:rFonts w:hint="eastAsia" w:ascii="仿宋" w:hAnsi="仿宋" w:eastAsia="仿宋" w:cs="仿宋"/>
          <w:color w:val="auto"/>
          <w:sz w:val="28"/>
          <w:szCs w:val="28"/>
        </w:rPr>
      </w:pPr>
    </w:p>
    <w:p>
      <w:pPr>
        <w:pStyle w:val="28"/>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6.2.1.2 </w:t>
      </w:r>
      <w:r>
        <w:rPr>
          <w:rFonts w:hint="eastAsia" w:ascii="仿宋" w:hAnsi="仿宋" w:eastAsia="仿宋" w:cs="仿宋"/>
          <w:color w:val="auto"/>
          <w:sz w:val="28"/>
          <w:szCs w:val="28"/>
        </w:rPr>
        <w:t>溢油回收设备的选用</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选用回收设备首先要考虑水域环境，然后再考虑溢油种类。水域可分为开阔水域、浅水水域和沼泽水域三类。</w:t>
      </w:r>
    </w:p>
    <w:p>
      <w:pPr>
        <w:keepLines w:val="0"/>
        <w:pageBreakBefore w:val="0"/>
        <w:widowControl/>
        <w:kinsoku/>
        <w:wordWrap/>
        <w:overflowPunct/>
        <w:topLinePunct w:val="0"/>
        <w:autoSpaceDE/>
        <w:autoSpaceDN/>
        <w:bidi w:val="0"/>
        <w:adjustRightInd/>
        <w:snapToGrid/>
        <w:spacing w:line="360" w:lineRule="auto"/>
        <w:ind w:firstLine="663" w:firstLineChars="236"/>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eastAsia="zh-CN"/>
        </w:rPr>
        <w:t>（</w:t>
      </w:r>
      <w:r>
        <w:rPr>
          <w:rFonts w:hint="eastAsia" w:ascii="仿宋" w:hAnsi="仿宋" w:eastAsia="仿宋" w:cs="仿宋"/>
          <w:b/>
          <w:color w:val="auto"/>
          <w:sz w:val="28"/>
          <w:szCs w:val="28"/>
        </w:rPr>
        <w:t>1）开阔水域溢油回收设备的选用</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用于开阔水域的溢油回收设备应具有较好的随波性，便于在船舶等工作平台上操作，以调整溢油回收设备的位置。在开阔水域，本公司选择DXS150动态斜面式收油机进行机械回收作业。收油机2～3小时的回收容量为400～600m</w:t>
      </w:r>
      <w:r>
        <w:rPr>
          <w:rFonts w:hint="eastAsia" w:ascii="仿宋" w:hAnsi="仿宋" w:eastAsia="仿宋" w:cs="仿宋"/>
          <w:color w:val="auto"/>
          <w:sz w:val="28"/>
          <w:szCs w:val="28"/>
          <w:vertAlign w:val="superscript"/>
        </w:rPr>
        <w:t>3</w:t>
      </w:r>
      <w:r>
        <w:rPr>
          <w:rFonts w:hint="eastAsia" w:ascii="仿宋" w:hAnsi="仿宋" w:eastAsia="仿宋" w:cs="仿宋"/>
          <w:color w:val="auto"/>
          <w:sz w:val="28"/>
          <w:szCs w:val="28"/>
        </w:rPr>
        <w:t>，应配套舱容在400 m</w:t>
      </w:r>
      <w:r>
        <w:rPr>
          <w:rFonts w:hint="eastAsia" w:ascii="仿宋" w:hAnsi="仿宋" w:eastAsia="仿宋" w:cs="仿宋"/>
          <w:color w:val="auto"/>
          <w:sz w:val="28"/>
          <w:szCs w:val="28"/>
          <w:vertAlign w:val="superscript"/>
        </w:rPr>
        <w:t>3</w:t>
      </w:r>
      <w:r>
        <w:rPr>
          <w:rFonts w:hint="eastAsia" w:ascii="仿宋" w:hAnsi="仿宋" w:eastAsia="仿宋" w:cs="仿宋"/>
          <w:color w:val="auto"/>
          <w:sz w:val="28"/>
          <w:szCs w:val="28"/>
        </w:rPr>
        <w:t>以上的溢油应急处置船，如“</w:t>
      </w:r>
      <w:r>
        <w:rPr>
          <w:rFonts w:hint="eastAsia" w:ascii="仿宋" w:hAnsi="仿宋" w:eastAsia="仿宋" w:cs="仿宋"/>
          <w:color w:val="auto"/>
          <w:sz w:val="28"/>
          <w:szCs w:val="28"/>
          <w:lang w:eastAsia="zh-CN"/>
        </w:rPr>
        <w:t>众和</w:t>
      </w:r>
      <w:r>
        <w:rPr>
          <w:rFonts w:hint="eastAsia" w:ascii="仿宋" w:hAnsi="仿宋" w:eastAsia="仿宋" w:cs="仿宋"/>
          <w:color w:val="auto"/>
          <w:sz w:val="28"/>
          <w:szCs w:val="28"/>
        </w:rPr>
        <w:t>1”溢油应急处置船。</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b/>
          <w:color w:val="auto"/>
          <w:sz w:val="28"/>
          <w:szCs w:val="28"/>
          <w:lang w:eastAsia="zh-CN"/>
        </w:rPr>
        <w:t>（</w:t>
      </w:r>
      <w:r>
        <w:rPr>
          <w:rFonts w:hint="eastAsia" w:ascii="仿宋" w:hAnsi="仿宋" w:eastAsia="仿宋" w:cs="仿宋"/>
          <w:b/>
          <w:color w:val="auto"/>
          <w:sz w:val="28"/>
          <w:szCs w:val="28"/>
        </w:rPr>
        <w:t>2）浅水区域溢油回收设备的选用</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浅水区域是指近岸、港口、湖泊或河流等水域。用于浅水区域的溢油</w:t>
      </w:r>
      <w:r>
        <w:rPr>
          <w:rFonts w:hint="eastAsia" w:ascii="仿宋" w:hAnsi="仿宋" w:eastAsia="仿宋" w:cs="仿宋"/>
          <w:sz w:val="28"/>
          <w:szCs w:val="28"/>
        </w:rPr>
        <w:t>回收设备应结构简单、操作便利，大型的回收设备是不适用的。选用原则：收油机的尺寸小、吃水浅，结构简单、操作方便，对浅水中的沉积物</w:t>
      </w:r>
      <w:r>
        <w:rPr>
          <w:rFonts w:hint="eastAsia" w:ascii="仿宋" w:hAnsi="仿宋" w:eastAsia="仿宋" w:cs="仿宋"/>
          <w:color w:val="auto"/>
          <w:sz w:val="28"/>
          <w:szCs w:val="28"/>
        </w:rPr>
        <w:t>如沙子、泥沙、淤泥、石头不敏感，适应一定的水流速等布放容易。但是，相对开阔水域的溢油回收设备，回收效率较低。</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本公司在浅水区域选用ZSJ50转盘式收油机。</w:t>
      </w:r>
    </w:p>
    <w:p>
      <w:pPr>
        <w:keepLines w:val="0"/>
        <w:pageBreakBefore w:val="0"/>
        <w:widowControl/>
        <w:kinsoku/>
        <w:wordWrap/>
        <w:overflowPunct/>
        <w:topLinePunct w:val="0"/>
        <w:autoSpaceDE/>
        <w:autoSpaceDN/>
        <w:bidi w:val="0"/>
        <w:adjustRightInd/>
        <w:snapToGrid/>
        <w:spacing w:line="360" w:lineRule="auto"/>
        <w:ind w:firstLine="663" w:firstLineChars="236"/>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eastAsia="zh-CN"/>
        </w:rPr>
        <w:t>（</w:t>
      </w:r>
      <w:r>
        <w:rPr>
          <w:rFonts w:hint="eastAsia" w:ascii="仿宋" w:hAnsi="仿宋" w:eastAsia="仿宋" w:cs="仿宋"/>
          <w:b/>
          <w:color w:val="auto"/>
          <w:sz w:val="28"/>
          <w:szCs w:val="28"/>
        </w:rPr>
        <w:t>3）岸上溢油回收设备的选用</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处理岸滩上的溢油，应利用岸滩的高度差（斜面），最好的办法是在斜坡的底部挖坑，将溢油导入坑中，再回收溢油，必要时可租用挖掘机或铲斗挖去上层土或沙。为了避免溢油进一步扩散，铺设吸油式围油栏围控溢油，如果溢油不是新鲜的（固化），就要考虑使用高压清洁装置。</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处理沼泽、湿地或泻湖等浅水区域的溢油，采用吸油式围油栏将溢油引导流向收油机，利用ZSJ50</w:t>
      </w:r>
      <w:r>
        <w:rPr>
          <w:rFonts w:hint="eastAsia" w:ascii="仿宋" w:hAnsi="仿宋" w:eastAsia="仿宋" w:cs="仿宋"/>
          <w:sz w:val="28"/>
          <w:szCs w:val="28"/>
          <w:lang w:eastAsia="zh-CN"/>
        </w:rPr>
        <w:t>转</w:t>
      </w:r>
      <w:r>
        <w:rPr>
          <w:rFonts w:hint="eastAsia" w:ascii="仿宋" w:hAnsi="仿宋" w:eastAsia="仿宋" w:cs="仿宋"/>
          <w:sz w:val="28"/>
          <w:szCs w:val="28"/>
        </w:rPr>
        <w:t>盘式收油机回收溢油。选择溢油回收设备应考虑设备对环境的影响，重的设备可能破坏某些敏感区域，如沼泽或浅水区域，就应避免使用机械式收油机。</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在溢油应急行动中，不论溢油种类和发生地点，溢油吸附材料都应经常使用。</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各种收油机适用的水域、油类以及特点，见表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-7与</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-8。</w:t>
      </w: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-7 收油机适用区域、油类情况表</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035"/>
        <w:gridCol w:w="1501"/>
        <w:gridCol w:w="2588"/>
        <w:gridCol w:w="188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ind w:firstLine="361" w:firstLineChars="150"/>
              <w:rPr>
                <w:rFonts w:hint="eastAsia" w:ascii="仿宋" w:hAnsi="仿宋" w:eastAsia="仿宋" w:cs="仿宋"/>
                <w:b/>
                <w:color w:val="auto"/>
                <w:sz w:val="24"/>
                <w:szCs w:val="24"/>
              </w:rPr>
            </w:pPr>
          </w:p>
        </w:tc>
        <w:tc>
          <w:tcPr>
            <w:tcW w:w="1545" w:type="dxa"/>
            <w:tcBorders>
              <w:tl2br w:val="nil"/>
              <w:tr2bl w:val="nil"/>
            </w:tcBorders>
            <w:noWrap w:val="0"/>
            <w:vAlign w:val="center"/>
          </w:tcPr>
          <w:p>
            <w:pPr>
              <w:spacing w:line="240" w:lineRule="auto"/>
              <w:ind w:left="35" w:leftChars="16"/>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盘式</w:t>
            </w:r>
          </w:p>
        </w:tc>
        <w:tc>
          <w:tcPr>
            <w:tcW w:w="2669" w:type="dxa"/>
            <w:tcBorders>
              <w:tl2br w:val="nil"/>
              <w:tr2bl w:val="nil"/>
            </w:tcBorders>
            <w:noWrap w:val="0"/>
            <w:vAlign w:val="center"/>
          </w:tcPr>
          <w:p>
            <w:pPr>
              <w:spacing w:line="240" w:lineRule="auto"/>
              <w:ind w:left="-95" w:leftChars="-43"/>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动态斜面式</w:t>
            </w:r>
          </w:p>
        </w:tc>
        <w:tc>
          <w:tcPr>
            <w:tcW w:w="193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收油网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开阔水域</w:t>
            </w:r>
          </w:p>
        </w:tc>
        <w:tc>
          <w:tcPr>
            <w:tcW w:w="154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26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193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浅水水域</w:t>
            </w:r>
          </w:p>
        </w:tc>
        <w:tc>
          <w:tcPr>
            <w:tcW w:w="154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26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193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高粘度油</w:t>
            </w:r>
          </w:p>
        </w:tc>
        <w:tc>
          <w:tcPr>
            <w:tcW w:w="154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c>
          <w:tcPr>
            <w:tcW w:w="26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193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低粘度油</w:t>
            </w:r>
          </w:p>
        </w:tc>
        <w:tc>
          <w:tcPr>
            <w:tcW w:w="154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26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1939" w:type="dxa"/>
            <w:tcBorders>
              <w:tl2br w:val="nil"/>
              <w:tr2bl w:val="nil"/>
            </w:tcBorders>
            <w:noWrap w:val="0"/>
            <w:vAlign w:val="center"/>
          </w:tcPr>
          <w:p>
            <w:pPr>
              <w:spacing w:line="240" w:lineRule="auto"/>
              <w:ind w:firstLine="360" w:firstLineChars="150"/>
              <w:jc w:val="center"/>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中粘度油</w:t>
            </w:r>
          </w:p>
        </w:tc>
        <w:tc>
          <w:tcPr>
            <w:tcW w:w="154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26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1939" w:type="dxa"/>
            <w:tcBorders>
              <w:tl2br w:val="nil"/>
              <w:tr2bl w:val="nil"/>
            </w:tcBorders>
            <w:noWrap w:val="0"/>
            <w:vAlign w:val="center"/>
          </w:tcPr>
          <w:p>
            <w:pPr>
              <w:spacing w:line="240" w:lineRule="auto"/>
              <w:ind w:firstLine="360" w:firstLineChars="150"/>
              <w:jc w:val="center"/>
              <w:rPr>
                <w:rFonts w:hint="eastAsia" w:ascii="仿宋" w:hAnsi="仿宋" w:eastAsia="仿宋" w:cs="仿宋"/>
                <w:color w:val="auto"/>
                <w:sz w:val="24"/>
                <w:szCs w:val="24"/>
              </w:rPr>
            </w:pPr>
          </w:p>
        </w:tc>
      </w:tr>
    </w:tbl>
    <w:p>
      <w:pPr>
        <w:spacing w:line="240" w:lineRule="auto"/>
        <w:outlineLvl w:val="9"/>
        <w:rPr>
          <w:rFonts w:hint="eastAsia" w:ascii="仿宋" w:hAnsi="仿宋" w:eastAsia="仿宋" w:cs="仿宋"/>
          <w:color w:val="auto"/>
          <w:sz w:val="24"/>
          <w:szCs w:val="24"/>
        </w:rPr>
      </w:pPr>
      <w:r>
        <w:rPr>
          <w:rFonts w:hint="eastAsia" w:ascii="仿宋" w:hAnsi="仿宋" w:eastAsia="仿宋" w:cs="仿宋"/>
          <w:color w:val="auto"/>
          <w:sz w:val="24"/>
          <w:szCs w:val="24"/>
        </w:rPr>
        <w:t>（注：表中“√”为适合。）</w:t>
      </w: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-8 收油机特点一览表</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070"/>
        <w:gridCol w:w="1573"/>
        <w:gridCol w:w="2445"/>
        <w:gridCol w:w="191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tblHeader/>
          <w:jc w:val="center"/>
        </w:trPr>
        <w:tc>
          <w:tcPr>
            <w:tcW w:w="316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性  能</w:t>
            </w:r>
          </w:p>
        </w:tc>
        <w:tc>
          <w:tcPr>
            <w:tcW w:w="161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盘式</w:t>
            </w:r>
          </w:p>
        </w:tc>
        <w:tc>
          <w:tcPr>
            <w:tcW w:w="2520" w:type="dxa"/>
            <w:tcBorders>
              <w:tl2br w:val="nil"/>
              <w:tr2bl w:val="nil"/>
            </w:tcBorders>
            <w:noWrap w:val="0"/>
            <w:vAlign w:val="center"/>
          </w:tcPr>
          <w:p>
            <w:pPr>
              <w:spacing w:line="240" w:lineRule="auto"/>
              <w:jc w:val="center"/>
              <w:rPr>
                <w:rFonts w:hint="eastAsia" w:ascii="仿宋" w:hAnsi="仿宋" w:eastAsia="仿宋" w:cs="仿宋"/>
                <w:b/>
                <w:bCs/>
                <w:color w:val="auto"/>
                <w:sz w:val="24"/>
                <w:szCs w:val="24"/>
              </w:rPr>
            </w:pPr>
            <w:r>
              <w:rPr>
                <w:rFonts w:hint="eastAsia" w:ascii="仿宋" w:hAnsi="仿宋" w:eastAsia="仿宋" w:cs="仿宋"/>
                <w:b/>
                <w:bCs/>
                <w:color w:val="auto"/>
                <w:sz w:val="24"/>
                <w:szCs w:val="24"/>
              </w:rPr>
              <w:t>动态斜面式</w:t>
            </w:r>
          </w:p>
        </w:tc>
        <w:tc>
          <w:tcPr>
            <w:tcW w:w="1978"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收油网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回收效率</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高</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行进速度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0</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0-5节</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油敏感度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低</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垃圾敏感度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低</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油层敏感度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c>
          <w:tcPr>
            <w:tcW w:w="252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适波性</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高</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操作简易度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维护简易</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高</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布放简单程度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耐用性</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高</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储存简易程度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c>
          <w:tcPr>
            <w:tcW w:w="252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r>
    </w:tbl>
    <w:p>
      <w:pPr>
        <w:pStyle w:val="2"/>
        <w:bidi w:val="0"/>
        <w:spacing w:line="360" w:lineRule="auto"/>
        <w:ind w:left="0" w:leftChars="0" w:firstLine="0" w:firstLineChars="0"/>
        <w:outlineLvl w:val="9"/>
        <w:rPr>
          <w:rFonts w:hint="eastAsia" w:ascii="仿宋" w:hAnsi="仿宋" w:eastAsia="仿宋" w:cs="仿宋"/>
          <w:color w:val="auto"/>
          <w:sz w:val="28"/>
          <w:szCs w:val="28"/>
          <w:lang w:val="en-US" w:eastAsia="zh-CN"/>
        </w:rPr>
      </w:pPr>
    </w:p>
    <w:p>
      <w:pPr>
        <w:pStyle w:val="2"/>
        <w:bidi w:val="0"/>
        <w:spacing w:line="360" w:lineRule="auto"/>
        <w:ind w:firstLine="562" w:firstLineChars="200"/>
        <w:jc w:val="both"/>
        <w:rPr>
          <w:rFonts w:hint="eastAsia" w:ascii="仿宋" w:hAnsi="仿宋" w:eastAsia="仿宋" w:cs="仿宋"/>
          <w:color w:val="auto"/>
          <w:sz w:val="28"/>
          <w:szCs w:val="28"/>
          <w:lang w:val="en-US" w:eastAsia="zh-CN"/>
        </w:rPr>
      </w:pPr>
      <w:bookmarkStart w:id="77" w:name="_Toc26300"/>
      <w:r>
        <w:rPr>
          <w:rFonts w:hint="eastAsia" w:ascii="仿宋" w:hAnsi="仿宋" w:eastAsia="仿宋" w:cs="仿宋"/>
          <w:color w:val="auto"/>
          <w:sz w:val="28"/>
          <w:szCs w:val="28"/>
          <w:lang w:val="en-US" w:eastAsia="zh-CN"/>
        </w:rPr>
        <w:t>6.2.1.3 海上溢油的机械清除方案</w:t>
      </w:r>
      <w:bookmarkEnd w:id="77"/>
    </w:p>
    <w:p>
      <w:pPr>
        <w:pStyle w:val="2"/>
        <w:bidi w:val="0"/>
        <w:spacing w:line="360" w:lineRule="auto"/>
        <w:ind w:left="0" w:leftChars="0" w:firstLine="562" w:firstLineChars="200"/>
        <w:jc w:val="both"/>
        <w:rPr>
          <w:rFonts w:hint="eastAsia" w:ascii="仿宋" w:hAnsi="仿宋" w:eastAsia="仿宋" w:cs="仿宋"/>
          <w:color w:val="auto"/>
          <w:sz w:val="28"/>
          <w:szCs w:val="28"/>
          <w:lang w:val="en-US"/>
        </w:rPr>
      </w:pPr>
      <w:bookmarkStart w:id="78" w:name="_Toc16362"/>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val="en-US"/>
        </w:rPr>
        <w:t>）有围油栏配合的机械清除海上溢油</w:t>
      </w:r>
      <w:bookmarkEnd w:id="78"/>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机械清除海上溢油采用由围油栏和收油机等组合的收油系统，也可用吸油材料和溢油回收船。本节对围油栏和收油机组合的扫油系统的技术方案，将作业时所用船数分为单船、二船和三船扫油作业方案。</w:t>
      </w:r>
    </w:p>
    <w:p>
      <w:pPr>
        <w:keepLines w:val="0"/>
        <w:pageBreakBefore w:val="0"/>
        <w:widowControl/>
        <w:numPr>
          <w:ilvl w:val="0"/>
          <w:numId w:val="0"/>
        </w:numPr>
        <w:tabs>
          <w:tab w:val="left" w:pos="720"/>
        </w:tabs>
        <w:kinsoku/>
        <w:wordWrap/>
        <w:overflowPunct/>
        <w:topLinePunct w:val="0"/>
        <w:autoSpaceDE/>
        <w:autoSpaceDN/>
        <w:bidi w:val="0"/>
        <w:adjustRightInd/>
        <w:snapToGrid/>
        <w:spacing w:before="0" w:after="0" w:line="360" w:lineRule="auto"/>
        <w:ind w:left="482" w:leftChars="0" w:right="0" w:rightChars="0"/>
        <w:jc w:val="both"/>
        <w:textAlignment w:val="auto"/>
        <w:outlineLvl w:val="9"/>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w:t>
      </w:r>
      <w:r>
        <w:rPr>
          <w:rFonts w:hint="eastAsia" w:ascii="仿宋" w:hAnsi="仿宋" w:eastAsia="仿宋" w:cs="仿宋"/>
          <w:b/>
          <w:color w:val="auto"/>
          <w:sz w:val="28"/>
          <w:szCs w:val="28"/>
          <w:lang w:val="en-US" w:bidi="ar-SA"/>
        </w:rPr>
        <w:t>单船收油系统</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在单船的一侧用刚性支架和绳索固定围油栏，并在围油栏靠船一端放置一台与船上动力源相连的收油机，聚集在靠船一端围油栏内的油通过收油机被泵入船上储油舱。如图</w:t>
      </w:r>
      <w:r>
        <w:rPr>
          <w:rFonts w:hint="eastAsia" w:ascii="仿宋" w:hAnsi="仿宋" w:eastAsia="仿宋" w:cs="仿宋"/>
          <w:color w:val="auto"/>
          <w:sz w:val="28"/>
          <w:szCs w:val="28"/>
          <w:lang w:val="en-US" w:eastAsia="zh-CN" w:bidi="ar-SA"/>
        </w:rPr>
        <w:t>6</w:t>
      </w:r>
      <w:r>
        <w:rPr>
          <w:rFonts w:hint="eastAsia" w:ascii="仿宋" w:hAnsi="仿宋" w:eastAsia="仿宋" w:cs="仿宋"/>
          <w:color w:val="auto"/>
          <w:sz w:val="28"/>
          <w:szCs w:val="28"/>
          <w:lang w:val="en-US" w:bidi="ar-SA"/>
        </w:rPr>
        <w:t>-</w:t>
      </w:r>
      <w:r>
        <w:rPr>
          <w:rFonts w:hint="eastAsia" w:ascii="仿宋" w:hAnsi="仿宋" w:eastAsia="仿宋" w:cs="仿宋"/>
          <w:color w:val="auto"/>
          <w:sz w:val="28"/>
          <w:szCs w:val="28"/>
          <w:lang w:val="en-US" w:eastAsia="zh-CN" w:bidi="ar-SA"/>
        </w:rPr>
        <w:t>5</w:t>
      </w:r>
      <w:r>
        <w:rPr>
          <w:rFonts w:hint="eastAsia" w:ascii="仿宋" w:hAnsi="仿宋" w:eastAsia="仿宋" w:cs="仿宋"/>
          <w:color w:val="auto"/>
          <w:sz w:val="28"/>
          <w:szCs w:val="28"/>
          <w:lang w:val="en-US" w:bidi="ar-SA"/>
        </w:rPr>
        <w:t>。</w:t>
      </w:r>
    </w:p>
    <w:p>
      <w:pPr>
        <w:spacing w:after="0" w:line="358" w:lineRule="exact"/>
        <w:jc w:val="left"/>
        <w:rPr>
          <w:rFonts w:hint="eastAsia" w:ascii="仿宋" w:hAnsi="仿宋" w:eastAsia="仿宋" w:cs="仿宋"/>
          <w:color w:val="auto"/>
          <w:sz w:val="28"/>
          <w:szCs w:val="28"/>
        </w:rPr>
      </w:pPr>
    </w:p>
    <w:p>
      <w:pPr>
        <w:spacing w:after="0" w:line="240" w:lineRule="auto"/>
        <w:jc w:val="left"/>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000375" cy="1677670"/>
            <wp:effectExtent l="0" t="0" r="9525" b="17780"/>
            <wp:docPr id="2" name="图片 2" descr="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12"/>
                    <pic:cNvPicPr>
                      <a:picLocks noChangeAspect="1"/>
                    </pic:cNvPicPr>
                  </pic:nvPicPr>
                  <pic:blipFill>
                    <a:blip r:embed="rId26"/>
                    <a:stretch>
                      <a:fillRect/>
                    </a:stretch>
                  </pic:blipFill>
                  <pic:spPr>
                    <a:xfrm>
                      <a:off x="0" y="0"/>
                      <a:ext cx="3000375" cy="167767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 xml:space="preserve"> 单船收油系统</w:t>
      </w:r>
    </w:p>
    <w:p>
      <w:pPr>
        <w:spacing w:after="0" w:line="240" w:lineRule="auto"/>
        <w:jc w:val="left"/>
        <w:rPr>
          <w:rFonts w:hint="eastAsia" w:ascii="仿宋" w:hAnsi="仿宋" w:eastAsia="仿宋" w:cs="仿宋"/>
          <w:color w:val="auto"/>
          <w:sz w:val="28"/>
          <w:szCs w:val="28"/>
          <w:lang w:eastAsia="zh-CN"/>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单船收油系统主要考虑使用本公司的</w:t>
      </w:r>
      <w:r>
        <w:rPr>
          <w:rFonts w:hint="eastAsia" w:ascii="仿宋" w:hAnsi="仿宋" w:eastAsia="仿宋" w:cs="仿宋"/>
          <w:color w:val="auto"/>
          <w:sz w:val="28"/>
          <w:szCs w:val="28"/>
          <w:lang w:eastAsia="zh-CN"/>
        </w:rPr>
        <w:t>“众和</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溢油应急处置船。</w:t>
      </w:r>
    </w:p>
    <w:p>
      <w:pPr>
        <w:keepNext w:val="0"/>
        <w:keepLines w:val="0"/>
        <w:pageBreakBefore w:val="0"/>
        <w:widowControl/>
        <w:numPr>
          <w:ilvl w:val="0"/>
          <w:numId w:val="0"/>
        </w:numPr>
        <w:tabs>
          <w:tab w:val="left" w:pos="720"/>
        </w:tabs>
        <w:kinsoku/>
        <w:wordWrap/>
        <w:overflowPunct/>
        <w:topLinePunct w:val="0"/>
        <w:autoSpaceDE/>
        <w:autoSpaceDN/>
        <w:bidi w:val="0"/>
        <w:adjustRightInd/>
        <w:snapToGrid/>
        <w:spacing w:line="360" w:lineRule="auto"/>
        <w:ind w:left="482" w:leftChars="0" w:right="0" w:rightChars="0"/>
        <w:jc w:val="both"/>
        <w:textAlignment w:val="auto"/>
        <w:outlineLvl w:val="9"/>
        <w:rPr>
          <w:rFonts w:hint="eastAsia" w:ascii="仿宋" w:hAnsi="仿宋" w:eastAsia="仿宋" w:cs="仿宋"/>
          <w:b/>
          <w:color w:val="auto"/>
          <w:sz w:val="28"/>
          <w:szCs w:val="28"/>
          <w:lang w:val="en-US" w:bidi="ar-SA"/>
        </w:rPr>
      </w:pPr>
    </w:p>
    <w:p>
      <w:pPr>
        <w:keepNext w:val="0"/>
        <w:keepLines w:val="0"/>
        <w:pageBreakBefore w:val="0"/>
        <w:widowControl/>
        <w:numPr>
          <w:ilvl w:val="0"/>
          <w:numId w:val="0"/>
        </w:numPr>
        <w:tabs>
          <w:tab w:val="left" w:pos="720"/>
        </w:tabs>
        <w:kinsoku/>
        <w:wordWrap/>
        <w:overflowPunct/>
        <w:topLinePunct w:val="0"/>
        <w:autoSpaceDE/>
        <w:autoSpaceDN/>
        <w:bidi w:val="0"/>
        <w:adjustRightInd/>
        <w:snapToGrid/>
        <w:spacing w:line="360" w:lineRule="auto"/>
        <w:ind w:left="482" w:leftChars="0" w:right="0" w:rightChars="0"/>
        <w:jc w:val="both"/>
        <w:textAlignment w:val="auto"/>
        <w:outlineLvl w:val="9"/>
        <w:rPr>
          <w:rFonts w:hint="eastAsia" w:ascii="仿宋" w:hAnsi="仿宋" w:eastAsia="仿宋" w:cs="仿宋"/>
          <w:b/>
          <w:color w:val="auto"/>
          <w:sz w:val="28"/>
          <w:szCs w:val="28"/>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w:t>
      </w:r>
      <w:r>
        <w:rPr>
          <w:rFonts w:hint="eastAsia" w:ascii="仿宋" w:hAnsi="仿宋" w:eastAsia="仿宋" w:cs="仿宋"/>
          <w:b/>
          <w:color w:val="auto"/>
          <w:sz w:val="28"/>
          <w:szCs w:val="28"/>
        </w:rPr>
        <w:t>二船收油系统</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由二艘船和一个专用围油栏和收油机组成。围油栏由二艘船拖曳成"J”形，油被置于围油栏顶端的收油机回收，并泵入靠近收油机一边的船上的储油舱中，见图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181350" cy="1563370"/>
            <wp:effectExtent l="0" t="0" r="0" b="17780"/>
            <wp:docPr id="3" name="图片 3" descr="图片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3"/>
                    <pic:cNvPicPr>
                      <a:picLocks noChangeAspect="1"/>
                    </pic:cNvPicPr>
                  </pic:nvPicPr>
                  <pic:blipFill>
                    <a:blip r:embed="rId27"/>
                    <a:stretch>
                      <a:fillRect/>
                    </a:stretch>
                  </pic:blipFill>
                  <pic:spPr>
                    <a:xfrm>
                      <a:off x="0" y="0"/>
                      <a:ext cx="3181350" cy="156337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 xml:space="preserve"> 二船拖曳围油栏布设为"J”形，其中一船布放收油机</w:t>
      </w:r>
    </w:p>
    <w:p>
      <w:pPr>
        <w:spacing w:after="0" w:line="360" w:lineRule="auto"/>
        <w:jc w:val="both"/>
        <w:rPr>
          <w:rFonts w:hint="eastAsia" w:ascii="仿宋" w:hAnsi="仿宋" w:eastAsia="仿宋" w:cs="仿宋"/>
          <w:color w:val="auto"/>
          <w:sz w:val="28"/>
          <w:szCs w:val="28"/>
          <w:lang w:eastAsia="zh-CN"/>
        </w:rPr>
      </w:pPr>
    </w:p>
    <w:p>
      <w:pPr>
        <w:keepNext w:val="0"/>
        <w:keepLines w:val="0"/>
        <w:pageBreakBefore w:val="0"/>
        <w:widowControl/>
        <w:kinsoku/>
        <w:wordWrap/>
        <w:overflowPunct/>
        <w:topLinePunct w:val="0"/>
        <w:autoSpaceDE/>
        <w:autoSpaceDN/>
        <w:bidi w:val="0"/>
        <w:adjustRightInd/>
        <w:snapToGrid/>
        <w:spacing w:before="0" w:after="0" w:line="360" w:lineRule="auto"/>
        <w:ind w:right="0" w:firstLine="560" w:firstLineChars="200"/>
        <w:jc w:val="left"/>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bidi="ar-SA"/>
        </w:rPr>
        <w:t>另一种二船收油系统为单船收油系统再另加一小船，小船与单船收油系统通过一截较短的围油栏相连并拉紧，二船按下图</w:t>
      </w:r>
      <w:r>
        <w:rPr>
          <w:rFonts w:hint="eastAsia" w:ascii="仿宋" w:hAnsi="仿宋" w:eastAsia="仿宋" w:cs="仿宋"/>
          <w:color w:val="auto"/>
          <w:sz w:val="28"/>
          <w:szCs w:val="28"/>
          <w:lang w:val="en-US" w:eastAsia="zh-CN" w:bidi="ar-SA"/>
        </w:rPr>
        <w:t>6</w:t>
      </w:r>
      <w:r>
        <w:rPr>
          <w:rFonts w:hint="eastAsia" w:ascii="仿宋" w:hAnsi="仿宋" w:eastAsia="仿宋" w:cs="仿宋"/>
          <w:color w:val="auto"/>
          <w:sz w:val="28"/>
          <w:szCs w:val="28"/>
          <w:lang w:val="en-US" w:bidi="ar-SA"/>
        </w:rPr>
        <w:t>-</w:t>
      </w:r>
      <w:r>
        <w:rPr>
          <w:rFonts w:hint="eastAsia" w:ascii="仿宋" w:hAnsi="仿宋" w:eastAsia="仿宋" w:cs="仿宋"/>
          <w:color w:val="auto"/>
          <w:sz w:val="28"/>
          <w:szCs w:val="28"/>
          <w:lang w:val="en-US" w:eastAsia="zh-CN" w:bidi="ar-SA"/>
        </w:rPr>
        <w:t>7</w:t>
      </w:r>
      <w:r>
        <w:rPr>
          <w:rFonts w:hint="eastAsia" w:ascii="仿宋" w:hAnsi="仿宋" w:eastAsia="仿宋" w:cs="仿宋"/>
          <w:color w:val="auto"/>
          <w:sz w:val="28"/>
          <w:szCs w:val="28"/>
          <w:lang w:val="en-US" w:bidi="ar-SA"/>
        </w:rPr>
        <w:t>排列，以增加围油率。</w:t>
      </w:r>
    </w:p>
    <w:p>
      <w:pPr>
        <w:spacing w:after="0" w:line="360" w:lineRule="auto"/>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2794000" cy="1611630"/>
            <wp:effectExtent l="0" t="0" r="6350" b="7620"/>
            <wp:docPr id="15" name="图片 15" descr="图片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片14"/>
                    <pic:cNvPicPr>
                      <a:picLocks noChangeAspect="1"/>
                    </pic:cNvPicPr>
                  </pic:nvPicPr>
                  <pic:blipFill>
                    <a:blip r:embed="rId28"/>
                    <a:stretch>
                      <a:fillRect/>
                    </a:stretch>
                  </pic:blipFill>
                  <pic:spPr>
                    <a:xfrm>
                      <a:off x="0" y="0"/>
                      <a:ext cx="2794000" cy="161163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7</w:t>
      </w:r>
      <w:r>
        <w:rPr>
          <w:rFonts w:hint="eastAsia" w:ascii="仿宋" w:hAnsi="仿宋" w:eastAsia="仿宋" w:cs="仿宋"/>
          <w:b/>
          <w:color w:val="auto"/>
          <w:sz w:val="24"/>
          <w:szCs w:val="24"/>
        </w:rPr>
        <w:t xml:space="preserve"> 单船收油系统另加一船拖曳围油栏，以增加围油率</w:t>
      </w:r>
    </w:p>
    <w:p>
      <w:pPr>
        <w:keepNext w:val="0"/>
        <w:keepLines w:val="0"/>
        <w:pageBreakBefore w:val="0"/>
        <w:widowControl/>
        <w:kinsoku/>
        <w:wordWrap/>
        <w:overflowPunct/>
        <w:topLinePunct w:val="0"/>
        <w:autoSpaceDE/>
        <w:autoSpaceDN/>
        <w:bidi w:val="0"/>
        <w:adjustRightInd/>
        <w:snapToGrid/>
        <w:spacing w:line="500" w:lineRule="exact"/>
        <w:jc w:val="both"/>
        <w:textAlignment w:val="auto"/>
        <w:rPr>
          <w:rFonts w:hint="eastAsia" w:ascii="仿宋" w:hAnsi="仿宋" w:eastAsia="仿宋" w:cs="仿宋"/>
          <w:b/>
          <w:color w:val="auto"/>
          <w:sz w:val="24"/>
          <w:szCs w:val="24"/>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二船收油系统主要考虑本公司带有收油功能的溢油应急处置船与其中一条具备围油栏拖带能力的辅助船配合作业。</w:t>
      </w:r>
    </w:p>
    <w:p>
      <w:pPr>
        <w:keepNext w:val="0"/>
        <w:keepLines w:val="0"/>
        <w:pageBreakBefore w:val="0"/>
        <w:widowControl/>
        <w:numPr>
          <w:ilvl w:val="0"/>
          <w:numId w:val="0"/>
        </w:numPr>
        <w:tabs>
          <w:tab w:val="left" w:pos="720"/>
        </w:tabs>
        <w:kinsoku/>
        <w:wordWrap/>
        <w:overflowPunct/>
        <w:topLinePunct w:val="0"/>
        <w:autoSpaceDE/>
        <w:autoSpaceDN/>
        <w:bidi w:val="0"/>
        <w:adjustRightInd/>
        <w:snapToGrid/>
        <w:spacing w:line="360" w:lineRule="auto"/>
        <w:ind w:right="0" w:rightChars="0" w:firstLine="562" w:firstLineChars="200"/>
        <w:jc w:val="both"/>
        <w:textAlignment w:val="auto"/>
        <w:outlineLvl w:val="9"/>
        <w:rPr>
          <w:rFonts w:hint="eastAsia" w:ascii="仿宋" w:hAnsi="仿宋" w:eastAsia="仿宋" w:cs="仿宋"/>
          <w:b/>
          <w:color w:val="auto"/>
          <w:sz w:val="28"/>
          <w:szCs w:val="28"/>
          <w:lang w:val="en-US" w:bidi="ar-SA"/>
        </w:rPr>
      </w:pPr>
    </w:p>
    <w:p>
      <w:pPr>
        <w:keepNext w:val="0"/>
        <w:keepLines w:val="0"/>
        <w:pageBreakBefore w:val="0"/>
        <w:widowControl/>
        <w:numPr>
          <w:ilvl w:val="0"/>
          <w:numId w:val="0"/>
        </w:numPr>
        <w:tabs>
          <w:tab w:val="left" w:pos="720"/>
        </w:tabs>
        <w:kinsoku/>
        <w:wordWrap/>
        <w:overflowPunct/>
        <w:topLinePunct w:val="0"/>
        <w:autoSpaceDE/>
        <w:autoSpaceDN/>
        <w:bidi w:val="0"/>
        <w:adjustRightInd/>
        <w:snapToGrid/>
        <w:spacing w:line="360" w:lineRule="auto"/>
        <w:ind w:right="0" w:rightChars="0" w:firstLine="562" w:firstLineChars="200"/>
        <w:jc w:val="both"/>
        <w:textAlignment w:val="auto"/>
        <w:outlineLvl w:val="9"/>
        <w:rPr>
          <w:rFonts w:hint="eastAsia" w:ascii="仿宋" w:hAnsi="仿宋" w:eastAsia="仿宋" w:cs="仿宋"/>
          <w:b/>
          <w:color w:val="auto"/>
          <w:sz w:val="28"/>
          <w:szCs w:val="28"/>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rPr>
        <w:t>三船收油系统</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由三艘船、围油栏和收油机组成，主要考虑本公司带有收油功能的溢油应急处置船与两艘具备围油栏拖带能力的辅助船配合作业。三船收油系统可按下列三种方式布设：</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①</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二艘船将围油栏拖曳成"V"形，油被置于"V"形围油栏顶端的收油机回收，并被泵入第三艘船上储油舱中。见图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8</w:t>
      </w:r>
      <w:r>
        <w:rPr>
          <w:rFonts w:hint="eastAsia" w:ascii="仿宋" w:hAnsi="仿宋" w:eastAsia="仿宋" w:cs="仿宋"/>
          <w:color w:val="auto"/>
          <w:sz w:val="28"/>
          <w:szCs w:val="28"/>
        </w:rPr>
        <w:t>。</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2882900" cy="1595755"/>
            <wp:effectExtent l="0" t="0" r="12700" b="4445"/>
            <wp:docPr id="16" name="图片 16" descr="图片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15"/>
                    <pic:cNvPicPr>
                      <a:picLocks noChangeAspect="1"/>
                    </pic:cNvPicPr>
                  </pic:nvPicPr>
                  <pic:blipFill>
                    <a:blip r:embed="rId29"/>
                    <a:stretch>
                      <a:fillRect/>
                    </a:stretch>
                  </pic:blipFill>
                  <pic:spPr>
                    <a:xfrm>
                      <a:off x="0" y="0"/>
                      <a:ext cx="2882900" cy="159575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8</w:t>
      </w:r>
      <w:r>
        <w:rPr>
          <w:rFonts w:hint="eastAsia" w:ascii="仿宋" w:hAnsi="仿宋" w:eastAsia="仿宋" w:cs="仿宋"/>
          <w:b/>
          <w:color w:val="auto"/>
          <w:sz w:val="24"/>
          <w:szCs w:val="24"/>
        </w:rPr>
        <w:t xml:space="preserve"> 二船拖曳围油栏成"V"形，收油机设置在"V"形顶端，</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color w:val="auto"/>
          <w:sz w:val="24"/>
          <w:szCs w:val="24"/>
          <w:lang w:eastAsia="zh-CN"/>
        </w:rPr>
      </w:pPr>
      <w:r>
        <w:rPr>
          <w:rFonts w:hint="eastAsia" w:ascii="仿宋" w:hAnsi="仿宋" w:eastAsia="仿宋" w:cs="仿宋"/>
          <w:b/>
          <w:color w:val="auto"/>
          <w:sz w:val="24"/>
          <w:szCs w:val="24"/>
        </w:rPr>
        <w:t>油被转移到第三艘船上</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②</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二艘船将围油栏拖曳成"U"形，油被聚集在围油栏顶端，通过收油机软管和泵，被泵至第三艘船上储油舱或油囊中。见图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9</w:t>
      </w:r>
      <w:r>
        <w:rPr>
          <w:rFonts w:hint="eastAsia" w:ascii="仿宋" w:hAnsi="仿宋" w:eastAsia="仿宋" w:cs="仿宋"/>
          <w:color w:val="auto"/>
          <w:sz w:val="28"/>
          <w:szCs w:val="28"/>
        </w:rPr>
        <w:t>。</w:t>
      </w:r>
    </w:p>
    <w:p>
      <w:pPr>
        <w:keepNext w:val="0"/>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color w:val="auto"/>
          <w:sz w:val="24"/>
          <w:szCs w:val="24"/>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529965" cy="1567815"/>
            <wp:effectExtent l="0" t="0" r="13335" b="13335"/>
            <wp:docPr id="17" name="图片 17" descr="图片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片16"/>
                    <pic:cNvPicPr>
                      <a:picLocks noChangeAspect="1"/>
                    </pic:cNvPicPr>
                  </pic:nvPicPr>
                  <pic:blipFill>
                    <a:blip r:embed="rId30"/>
                    <a:stretch>
                      <a:fillRect/>
                    </a:stretch>
                  </pic:blipFill>
                  <pic:spPr>
                    <a:xfrm>
                      <a:off x="0" y="0"/>
                      <a:ext cx="3529965" cy="156781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color w:val="auto"/>
          <w:sz w:val="24"/>
          <w:szCs w:val="24"/>
          <w:lang w:eastAsia="zh-CN"/>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9</w:t>
      </w:r>
      <w:r>
        <w:rPr>
          <w:rFonts w:hint="eastAsia" w:ascii="仿宋" w:hAnsi="仿宋" w:eastAsia="仿宋" w:cs="仿宋"/>
          <w:b/>
          <w:color w:val="auto"/>
          <w:sz w:val="24"/>
          <w:szCs w:val="24"/>
        </w:rPr>
        <w:t xml:space="preserve"> 二船拖曳围油栏成"U"形</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③</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二艘船以1-2节航速将围油栏拖曳成“U”形，油被聚集在围油栏顶端，并允许油在围油栏"U"形顶端逃逸。逃逸的油用单船扫油系统回收。见图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10</w:t>
      </w:r>
      <w:r>
        <w:rPr>
          <w:rFonts w:hint="eastAsia" w:ascii="仿宋" w:hAnsi="仿宋" w:eastAsia="仿宋" w:cs="仿宋"/>
          <w:color w:val="auto"/>
          <w:sz w:val="28"/>
          <w:szCs w:val="28"/>
        </w:rPr>
        <w:t>。在这种情况下，使用DIP式收油机，它能够在围油栏失效情况下，工作良好。</w:t>
      </w:r>
    </w:p>
    <w:p>
      <w:pPr>
        <w:spacing w:after="0" w:line="360" w:lineRule="auto"/>
        <w:ind w:left="840" w:hanging="840" w:hangingChars="3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224530" cy="1440180"/>
            <wp:effectExtent l="0" t="0" r="13970" b="7620"/>
            <wp:docPr id="18" name="图片 18" descr="图片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片17"/>
                    <pic:cNvPicPr>
                      <a:picLocks noChangeAspect="1"/>
                    </pic:cNvPicPr>
                  </pic:nvPicPr>
                  <pic:blipFill>
                    <a:blip r:embed="rId31"/>
                    <a:stretch>
                      <a:fillRect/>
                    </a:stretch>
                  </pic:blipFill>
                  <pic:spPr>
                    <a:xfrm>
                      <a:off x="0" y="0"/>
                      <a:ext cx="3224530" cy="1440180"/>
                    </a:xfrm>
                    <a:prstGeom prst="rect">
                      <a:avLst/>
                    </a:prstGeom>
                  </pic:spPr>
                </pic:pic>
              </a:graphicData>
            </a:graphic>
          </wp:inline>
        </w:drawing>
      </w:r>
      <w:r>
        <w:rPr>
          <w:rFonts w:hint="eastAsia" w:ascii="仿宋" w:hAnsi="仿宋" w:eastAsia="仿宋" w:cs="仿宋"/>
          <w:color w:val="auto"/>
          <w:sz w:val="28"/>
          <w:szCs w:val="28"/>
          <w:lang w:val="en-US" w:eastAsia="zh-CN"/>
        </w:rPr>
        <w:t xml:space="preserve">         </w:t>
      </w:r>
    </w:p>
    <w:p>
      <w:pPr>
        <w:spacing w:after="0" w:line="360" w:lineRule="auto"/>
        <w:ind w:left="840" w:hanging="723" w:hangingChars="30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10</w:t>
      </w:r>
      <w:r>
        <w:rPr>
          <w:rFonts w:hint="eastAsia" w:ascii="仿宋" w:hAnsi="仿宋" w:eastAsia="仿宋" w:cs="仿宋"/>
          <w:b/>
          <w:color w:val="auto"/>
          <w:sz w:val="24"/>
          <w:szCs w:val="24"/>
        </w:rPr>
        <w:t xml:space="preserve"> 二船拖曳围油栏成"U"形，逃逸的油用单船收油系统回收</w:t>
      </w:r>
    </w:p>
    <w:p>
      <w:pPr>
        <w:spacing w:after="0" w:line="360" w:lineRule="auto"/>
        <w:ind w:left="840" w:hanging="723" w:hangingChars="300"/>
        <w:jc w:val="both"/>
        <w:rPr>
          <w:rFonts w:hint="eastAsia" w:ascii="仿宋" w:hAnsi="仿宋" w:eastAsia="仿宋" w:cs="仿宋"/>
          <w:b/>
          <w:color w:val="auto"/>
          <w:sz w:val="24"/>
          <w:szCs w:val="24"/>
        </w:rPr>
      </w:pPr>
    </w:p>
    <w:p>
      <w:pPr>
        <w:spacing w:after="0" w:line="360" w:lineRule="auto"/>
        <w:ind w:left="844" w:leftChars="128" w:hanging="562" w:hangingChars="200"/>
        <w:jc w:val="both"/>
        <w:rPr>
          <w:rFonts w:hint="eastAsia" w:ascii="仿宋" w:hAnsi="仿宋" w:eastAsia="仿宋" w:cs="仿宋"/>
          <w:b/>
          <w:color w:val="auto"/>
          <w:sz w:val="28"/>
          <w:szCs w:val="28"/>
        </w:rPr>
      </w:pPr>
      <w:r>
        <w:rPr>
          <w:rFonts w:hint="eastAsia" w:ascii="仿宋" w:hAnsi="仿宋" w:eastAsia="仿宋" w:cs="仿宋"/>
          <w:b/>
          <w:color w:val="auto"/>
          <w:sz w:val="28"/>
          <w:szCs w:val="28"/>
        </w:rPr>
        <w:t>（2）收油系统作业时注意事项</w:t>
      </w:r>
    </w:p>
    <w:p>
      <w:pPr>
        <w:spacing w:line="360" w:lineRule="auto"/>
        <w:ind w:firstLine="280" w:firstLineChars="100"/>
        <w:jc w:val="both"/>
        <w:rPr>
          <w:rFonts w:hint="eastAsia" w:ascii="仿宋" w:hAnsi="仿宋" w:eastAsia="仿宋" w:cs="仿宋"/>
          <w:color w:val="auto"/>
          <w:sz w:val="28"/>
          <w:szCs w:val="28"/>
        </w:rPr>
      </w:pP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波高、风浪以及流速将限制收油系统的性能，有一些收油机有可能失效，此时使用抗风浪、抗水流性能良好的DIP式收油机。</w:t>
      </w:r>
    </w:p>
    <w:p>
      <w:pPr>
        <w:spacing w:line="360" w:lineRule="auto"/>
        <w:ind w:firstLine="280" w:firstLineChars="100"/>
        <w:jc w:val="both"/>
        <w:rPr>
          <w:rFonts w:hint="eastAsia" w:ascii="仿宋" w:hAnsi="仿宋" w:eastAsia="仿宋" w:cs="仿宋"/>
          <w:color w:val="auto"/>
          <w:sz w:val="28"/>
          <w:szCs w:val="28"/>
        </w:rPr>
      </w:pP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在多船作业时需要在1-2节航速下联合操作，几艘船和围油栏拖曳的协调非常困难的，本公司将选择优秀的船员和操作人员进行，并注重日常训练。</w:t>
      </w:r>
    </w:p>
    <w:p>
      <w:pPr>
        <w:spacing w:line="360" w:lineRule="auto"/>
        <w:ind w:firstLine="280" w:firstLineChars="100"/>
        <w:jc w:val="both"/>
        <w:rPr>
          <w:rFonts w:hint="eastAsia" w:ascii="仿宋" w:hAnsi="仿宋" w:eastAsia="仿宋" w:cs="仿宋"/>
          <w:sz w:val="28"/>
          <w:szCs w:val="28"/>
        </w:rPr>
      </w:pPr>
      <w:r>
        <w:rPr>
          <w:rFonts w:hint="eastAsia" w:ascii="仿宋" w:hAnsi="仿宋" w:eastAsia="仿宋" w:cs="仿宋"/>
          <w:sz w:val="28"/>
          <w:szCs w:val="28"/>
        </w:rPr>
        <w:t>◆</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为了以最快的速度与油膜会合，二艘船拖曳围油栏的适宜长度为400 m至600 m。拖曳时防止在高速拖曳时，围油栏被扭成螺旋状。为避免被拖曳的围油栏突然受力，围油栏与拖曳船之间的绳索必须有足够的长度，60 m或更长些适合于拖曳400 m围油栏。在低速拖曳时，围油栏的最佳拖曳点需要根据风向和拖曳方向来改变。</w:t>
      </w:r>
    </w:p>
    <w:p>
      <w:pPr>
        <w:spacing w:line="360" w:lineRule="auto"/>
        <w:ind w:firstLine="280" w:firstLineChars="100"/>
        <w:jc w:val="both"/>
        <w:rPr>
          <w:rFonts w:hint="eastAsia" w:ascii="仿宋" w:hAnsi="仿宋" w:eastAsia="仿宋" w:cs="仿宋"/>
          <w:color w:val="auto"/>
          <w:sz w:val="28"/>
          <w:szCs w:val="28"/>
        </w:rPr>
      </w:pP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当拖曳"U"形围油栏时，围油栏的节数一般取为奇数，以避免围油栏每节之间的连接处处于"U"形的顶端，使油从围油栏的连接处逃逸。布栏成形后，以低速（小于0.5 m/s）在海上拖曳，油膜可缓慢地聚集在拖曳的围油栏中，聚集的油可用收油机回收。</w:t>
      </w:r>
    </w:p>
    <w:p>
      <w:pPr>
        <w:spacing w:line="360" w:lineRule="auto"/>
        <w:ind w:firstLine="280" w:firstLineChars="100"/>
        <w:rPr>
          <w:rFonts w:hint="eastAsia" w:ascii="仿宋" w:hAnsi="仿宋" w:eastAsia="仿宋" w:cs="仿宋"/>
          <w:sz w:val="28"/>
          <w:szCs w:val="28"/>
        </w:rPr>
      </w:pP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围油栏的围拦效果可以通过眼睛观察"U"形或"V"形顶端来判断。如果观察到有油滴在围油栏后部上升，说明有油从围油栏下部逸出。若在围油栏后部出现漩涡则说明围油栏拖曳太快。但是即使围油栏发挥的性能很</w:t>
      </w:r>
      <w:r>
        <w:rPr>
          <w:rFonts w:hint="eastAsia" w:ascii="仿宋" w:hAnsi="仿宋" w:eastAsia="仿宋" w:cs="仿宋"/>
          <w:sz w:val="28"/>
          <w:szCs w:val="28"/>
        </w:rPr>
        <w:t>好，其后也会出现带光泽的油膜。</w:t>
      </w:r>
    </w:p>
    <w:p>
      <w:pPr>
        <w:spacing w:line="360" w:lineRule="auto"/>
        <w:ind w:firstLine="280" w:firstLineChars="100"/>
        <w:rPr>
          <w:rFonts w:hint="eastAsia" w:ascii="仿宋" w:hAnsi="仿宋" w:eastAsia="仿宋" w:cs="仿宋"/>
          <w:color w:val="auto"/>
          <w:sz w:val="28"/>
          <w:szCs w:val="28"/>
        </w:rPr>
      </w:pPr>
      <w:r>
        <w:rPr>
          <w:rFonts w:hint="eastAsia" w:ascii="仿宋" w:hAnsi="仿宋" w:eastAsia="仿宋" w:cs="仿宋"/>
          <w:sz w:val="28"/>
          <w:szCs w:val="28"/>
        </w:rPr>
        <w:t>◆</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在实际作业时，从拖带船的船舱中是看不到油膜的，也看不到围油</w:t>
      </w:r>
      <w:r>
        <w:rPr>
          <w:rFonts w:hint="eastAsia" w:ascii="仿宋" w:hAnsi="仿宋" w:eastAsia="仿宋" w:cs="仿宋"/>
          <w:color w:val="auto"/>
          <w:sz w:val="28"/>
          <w:szCs w:val="28"/>
        </w:rPr>
        <w:t>栏的顶端。因此需要有电台进行通讯的船舶来指挥拖带船的行动，从而可有效地围栏和聚集漂浮的油膜。</w:t>
      </w:r>
    </w:p>
    <w:p>
      <w:pPr>
        <w:spacing w:line="360" w:lineRule="auto"/>
        <w:ind w:firstLine="280" w:firstLineChars="100"/>
        <w:jc w:val="both"/>
        <w:rPr>
          <w:rFonts w:hint="eastAsia" w:ascii="仿宋" w:hAnsi="仿宋" w:eastAsia="仿宋" w:cs="仿宋"/>
          <w:color w:val="auto"/>
          <w:sz w:val="28"/>
          <w:szCs w:val="28"/>
        </w:rPr>
      </w:pP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如果预计回收的油水混合物的量超过回收作业船储油舱的容量时，则需另外配备船舶或油囊等，以便转移回收作业船舱中的油水混合物，并输送至近岸设施。选择回收效率最高的动态斜面收油机，可以节省溢油现场宝贵的储油空间。</w:t>
      </w:r>
    </w:p>
    <w:p>
      <w:pPr>
        <w:spacing w:line="360" w:lineRule="auto"/>
        <w:ind w:firstLine="562" w:firstLineChars="200"/>
        <w:jc w:val="both"/>
        <w:rPr>
          <w:rFonts w:hint="eastAsia" w:ascii="仿宋" w:hAnsi="仿宋" w:eastAsia="仿宋" w:cs="仿宋"/>
          <w:b/>
          <w:bCs/>
          <w:color w:val="auto"/>
          <w:sz w:val="28"/>
          <w:szCs w:val="28"/>
        </w:rPr>
      </w:pPr>
      <w:bookmarkStart w:id="79" w:name="_Toc12681"/>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.2.2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溢油分散剂使用</w:t>
      </w:r>
      <w:bookmarkEnd w:id="79"/>
    </w:p>
    <w:p>
      <w:pPr>
        <w:spacing w:line="360" w:lineRule="auto"/>
        <w:ind w:firstLine="562" w:firstLineChars="200"/>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6.2.2.1 </w:t>
      </w:r>
      <w:r>
        <w:rPr>
          <w:rFonts w:hint="eastAsia" w:ascii="仿宋" w:hAnsi="仿宋" w:eastAsia="仿宋" w:cs="仿宋"/>
          <w:b/>
          <w:bCs/>
          <w:color w:val="auto"/>
          <w:sz w:val="28"/>
          <w:szCs w:val="28"/>
        </w:rPr>
        <w:t>本公司溢油分散剂的配备情况</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本公司配有常规性溢油分散剂</w:t>
      </w:r>
      <w:r>
        <w:rPr>
          <w:rFonts w:hint="eastAsia" w:ascii="仿宋" w:hAnsi="仿宋" w:eastAsia="仿宋" w:cs="仿宋"/>
          <w:color w:val="auto"/>
          <w:sz w:val="28"/>
          <w:szCs w:val="28"/>
          <w:lang w:val="en-US" w:eastAsia="zh-CN"/>
        </w:rPr>
        <w:t>7</w:t>
      </w:r>
      <w:r>
        <w:rPr>
          <w:rFonts w:hint="eastAsia" w:ascii="仿宋" w:hAnsi="仿宋" w:eastAsia="仿宋" w:cs="仿宋"/>
          <w:color w:val="auto"/>
          <w:sz w:val="28"/>
          <w:szCs w:val="28"/>
        </w:rPr>
        <w:t>吨，生物降解消油剂5吨，具体见表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-9。</w:t>
      </w:r>
    </w:p>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-9 本公司溢油分散剂配备情况表</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1"/>
        <w:gridCol w:w="1584"/>
        <w:gridCol w:w="1120"/>
        <w:gridCol w:w="889"/>
        <w:gridCol w:w="1033"/>
        <w:gridCol w:w="347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7" w:hRule="exact"/>
          <w:jc w:val="center"/>
        </w:trPr>
        <w:tc>
          <w:tcPr>
            <w:tcW w:w="828"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455"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102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816"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948"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厂家</w:t>
            </w:r>
          </w:p>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3194"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主要技术参数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72" w:hRule="exact"/>
          <w:jc w:val="center"/>
        </w:trPr>
        <w:tc>
          <w:tcPr>
            <w:tcW w:w="82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45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溢油分散剂</w:t>
            </w:r>
          </w:p>
        </w:tc>
        <w:tc>
          <w:tcPr>
            <w:tcW w:w="1029" w:type="dxa"/>
            <w:tcBorders>
              <w:tl2br w:val="nil"/>
              <w:tr2bl w:val="nil"/>
            </w:tcBorders>
            <w:noWrap w:val="0"/>
            <w:vAlign w:val="center"/>
          </w:tcPr>
          <w:p>
            <w:pPr>
              <w:spacing w:line="240" w:lineRule="auto"/>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富肯2号</w:t>
            </w:r>
          </w:p>
        </w:tc>
        <w:tc>
          <w:tcPr>
            <w:tcW w:w="816"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7</w:t>
            </w:r>
            <w:r>
              <w:rPr>
                <w:rFonts w:hint="eastAsia" w:ascii="仿宋" w:hAnsi="仿宋" w:eastAsia="仿宋" w:cs="仿宋"/>
                <w:color w:val="auto"/>
                <w:sz w:val="24"/>
                <w:szCs w:val="24"/>
              </w:rPr>
              <w:t>吨</w:t>
            </w:r>
          </w:p>
        </w:tc>
        <w:tc>
          <w:tcPr>
            <w:tcW w:w="948"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广州</w:t>
            </w:r>
          </w:p>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富肯</w:t>
            </w:r>
          </w:p>
        </w:tc>
        <w:tc>
          <w:tcPr>
            <w:tcW w:w="3194"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外观：清澈、透明、</w:t>
            </w:r>
            <w:r>
              <w:rPr>
                <w:rFonts w:hint="eastAsia" w:ascii="仿宋" w:hAnsi="仿宋" w:eastAsia="仿宋" w:cs="仿宋"/>
                <w:color w:val="auto"/>
                <w:sz w:val="24"/>
                <w:szCs w:val="24"/>
                <w:lang w:eastAsia="zh-CN"/>
              </w:rPr>
              <w:t>无</w:t>
            </w:r>
            <w:r>
              <w:rPr>
                <w:rFonts w:hint="eastAsia" w:ascii="仿宋" w:hAnsi="仿宋" w:eastAsia="仿宋" w:cs="仿宋"/>
                <w:color w:val="auto"/>
                <w:sz w:val="24"/>
                <w:szCs w:val="24"/>
              </w:rPr>
              <w:t>分层</w:t>
            </w:r>
          </w:p>
          <w:p>
            <w:pPr>
              <w:spacing w:line="240" w:lineRule="auto"/>
              <w:jc w:val="both"/>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rPr>
              <w:t>PH：7</w:t>
            </w:r>
            <w:r>
              <w:rPr>
                <w:rFonts w:hint="eastAsia" w:ascii="仿宋" w:hAnsi="仿宋" w:eastAsia="仿宋" w:cs="仿宋"/>
                <w:color w:val="auto"/>
                <w:sz w:val="24"/>
                <w:szCs w:val="24"/>
                <w:lang w:val="en-US" w:eastAsia="zh-CN"/>
              </w:rPr>
              <w:t>-7.5</w:t>
            </w:r>
          </w:p>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燃点＞70℃</w:t>
            </w:r>
          </w:p>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lang w:eastAsia="zh-CN"/>
              </w:rPr>
              <w:t>运动粘</w:t>
            </w:r>
            <w:r>
              <w:rPr>
                <w:rFonts w:hint="eastAsia" w:ascii="仿宋" w:hAnsi="仿宋" w:eastAsia="仿宋" w:cs="仿宋"/>
                <w:color w:val="auto"/>
                <w:sz w:val="24"/>
                <w:szCs w:val="24"/>
              </w:rPr>
              <w:t>度</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lang w:val="en-US" w:eastAsia="zh-CN"/>
              </w:rPr>
              <w:t>30℃</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：50mm²/s</w:t>
            </w:r>
          </w:p>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生物降解率＞30%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327" w:hRule="exact"/>
          <w:jc w:val="center"/>
        </w:trPr>
        <w:tc>
          <w:tcPr>
            <w:tcW w:w="828"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w:t>
            </w:r>
          </w:p>
        </w:tc>
        <w:tc>
          <w:tcPr>
            <w:tcW w:w="145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溢油分散剂</w:t>
            </w:r>
          </w:p>
        </w:tc>
        <w:tc>
          <w:tcPr>
            <w:tcW w:w="1029"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生物降解型</w:t>
            </w:r>
          </w:p>
        </w:tc>
        <w:tc>
          <w:tcPr>
            <w:tcW w:w="816" w:type="dxa"/>
            <w:tcBorders>
              <w:tl2br w:val="nil"/>
              <w:tr2bl w:val="nil"/>
            </w:tcBorders>
            <w:noWrap w:val="0"/>
            <w:vAlign w:val="center"/>
          </w:tcPr>
          <w:p>
            <w:pPr>
              <w:spacing w:line="240" w:lineRule="auto"/>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5吨</w:t>
            </w:r>
          </w:p>
        </w:tc>
        <w:tc>
          <w:tcPr>
            <w:tcW w:w="948"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北京威业源</w:t>
            </w:r>
          </w:p>
        </w:tc>
        <w:tc>
          <w:tcPr>
            <w:tcW w:w="3194"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p>
          <w:p>
            <w:pPr>
              <w:spacing w:line="240" w:lineRule="auto"/>
              <w:jc w:val="both"/>
              <w:rPr>
                <w:rFonts w:hint="eastAsia" w:ascii="仿宋" w:hAnsi="仿宋" w:eastAsia="仿宋" w:cs="仿宋"/>
                <w:color w:val="auto"/>
                <w:sz w:val="24"/>
                <w:szCs w:val="24"/>
              </w:rPr>
            </w:pPr>
          </w:p>
          <w:p>
            <w:pPr>
              <w:spacing w:line="240" w:lineRule="auto"/>
              <w:jc w:val="both"/>
              <w:rPr>
                <w:rFonts w:hint="eastAsia" w:ascii="仿宋" w:hAnsi="仿宋" w:eastAsia="仿宋" w:cs="仿宋"/>
                <w:color w:val="auto"/>
                <w:sz w:val="24"/>
                <w:szCs w:val="24"/>
              </w:rPr>
            </w:pPr>
          </w:p>
          <w:p>
            <w:pPr>
              <w:spacing w:line="240" w:lineRule="auto"/>
              <w:jc w:val="both"/>
              <w:rPr>
                <w:rFonts w:hint="eastAsia" w:ascii="仿宋" w:hAnsi="仿宋" w:eastAsia="仿宋" w:cs="仿宋"/>
                <w:color w:val="auto"/>
                <w:sz w:val="24"/>
                <w:szCs w:val="24"/>
              </w:rPr>
            </w:pPr>
          </w:p>
          <w:p>
            <w:pPr>
              <w:spacing w:line="240" w:lineRule="auto"/>
              <w:jc w:val="both"/>
              <w:rPr>
                <w:rFonts w:hint="eastAsia" w:ascii="仿宋" w:hAnsi="仿宋" w:eastAsia="仿宋" w:cs="仿宋"/>
                <w:color w:val="auto"/>
                <w:sz w:val="24"/>
                <w:szCs w:val="24"/>
              </w:rPr>
            </w:pPr>
          </w:p>
          <w:p>
            <w:pPr>
              <w:spacing w:line="240" w:lineRule="auto"/>
              <w:jc w:val="both"/>
              <w:rPr>
                <w:rFonts w:hint="eastAsia" w:ascii="仿宋" w:hAnsi="仿宋" w:eastAsia="仿宋" w:cs="仿宋"/>
                <w:color w:val="auto"/>
                <w:sz w:val="24"/>
                <w:szCs w:val="24"/>
              </w:rPr>
            </w:pPr>
          </w:p>
        </w:tc>
      </w:tr>
    </w:tbl>
    <w:p>
      <w:pPr>
        <w:keepNext/>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outlineLvl w:val="9"/>
        <w:rPr>
          <w:rFonts w:hint="eastAsia" w:ascii="仿宋" w:hAnsi="仿宋" w:eastAsia="仿宋" w:cs="仿宋"/>
          <w:b/>
          <w:bCs/>
          <w:color w:val="auto"/>
          <w:sz w:val="28"/>
          <w:szCs w:val="28"/>
          <w:lang w:val="en-US" w:eastAsia="zh-CN" w:bidi="ar-SA"/>
        </w:rPr>
      </w:pPr>
    </w:p>
    <w:p>
      <w:pPr>
        <w:keepNext/>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outlineLvl w:val="3"/>
        <w:rPr>
          <w:rFonts w:hint="eastAsia" w:ascii="仿宋" w:hAnsi="仿宋" w:eastAsia="仿宋" w:cs="仿宋"/>
          <w:b/>
          <w:bCs/>
          <w:color w:val="auto"/>
          <w:sz w:val="28"/>
          <w:szCs w:val="28"/>
          <w:lang w:val="en-US" w:eastAsia="zh-CN" w:bidi="ar-SA"/>
        </w:rPr>
      </w:pPr>
      <w:r>
        <w:rPr>
          <w:rFonts w:hint="eastAsia" w:ascii="仿宋" w:hAnsi="仿宋" w:eastAsia="仿宋" w:cs="仿宋"/>
          <w:b/>
          <w:bCs/>
          <w:color w:val="auto"/>
          <w:sz w:val="28"/>
          <w:szCs w:val="28"/>
          <w:lang w:val="en-US" w:eastAsia="zh-CN" w:bidi="ar-SA"/>
        </w:rPr>
        <w:t>6.2.2.2 分散效率影响因素及使用比率</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（1）影响分散效能的因素</w:t>
      </w:r>
    </w:p>
    <w:p>
      <w:pPr>
        <w:keepLines w:val="0"/>
        <w:pageBreakBefore w:val="0"/>
        <w:widowControl/>
        <w:numPr>
          <w:ilvl w:val="0"/>
          <w:numId w:val="0"/>
        </w:numPr>
        <w:tabs>
          <w:tab w:val="left" w:pos="720"/>
        </w:tabs>
        <w:kinsoku/>
        <w:wordWrap/>
        <w:overflowPunct/>
        <w:topLinePunct w:val="0"/>
        <w:autoSpaceDE/>
        <w:autoSpaceDN/>
        <w:bidi w:val="0"/>
        <w:adjustRightInd/>
        <w:snapToGrid/>
        <w:spacing w:before="0" w:after="0" w:line="360" w:lineRule="auto"/>
        <w:ind w:right="0" w:rightChars="0" w:firstLine="562" w:firstLineChars="200"/>
        <w:jc w:val="both"/>
        <w:textAlignment w:val="auto"/>
        <w:outlineLvl w:val="9"/>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w:t>
      </w:r>
      <w:r>
        <w:rPr>
          <w:rFonts w:hint="eastAsia" w:ascii="仿宋" w:hAnsi="仿宋" w:eastAsia="仿宋" w:cs="仿宋"/>
          <w:b/>
          <w:color w:val="auto"/>
          <w:sz w:val="28"/>
          <w:szCs w:val="28"/>
          <w:lang w:val="en-US" w:bidi="ar-SA"/>
        </w:rPr>
        <w:t>油的粘度和倾点</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分散剂不适用高粘性的油。油的粘度越低，分散效能越高，如果油的粘度很大，分散剂就会失效。一般情况下，油的动力粘度低于2000厘泊时，分散剂的分散效能较高。一旦油的粘度超过了2000厘泊，分散剂的分散效能降低。当油的粘度达到5000～10000厘泊时，分散剂基本失去作用。</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油的倾点也影响分散剂的分散效能。当油的倾点大于或接近于环境温度时，分散剂的分散效能较低。一般情况下，油的倾点低于环境温度5℃左右，可以使用分散剂。</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val="en-US"/>
        </w:rPr>
        <w:t>油的风化程度</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溢油经过一定时间后，会蒸发、乳化，致使粘度增大，形成“油包水”型乳化物，使分散剂对其失去了分散作用。即使是粘度和倾点较低的油，在溢出两天之后使用分散剂，分散效能也会下降，甚至难以分散。</w:t>
      </w:r>
    </w:p>
    <w:p>
      <w:pPr>
        <w:keepLines w:val="0"/>
        <w:pageBreakBefore w:val="0"/>
        <w:widowControl/>
        <w:numPr>
          <w:ilvl w:val="0"/>
          <w:numId w:val="0"/>
        </w:numPr>
        <w:tabs>
          <w:tab w:val="left" w:pos="720"/>
        </w:tabs>
        <w:kinsoku/>
        <w:wordWrap/>
        <w:overflowPunct/>
        <w:topLinePunct w:val="0"/>
        <w:autoSpaceDE/>
        <w:autoSpaceDN/>
        <w:bidi w:val="0"/>
        <w:adjustRightInd/>
        <w:snapToGrid/>
        <w:spacing w:before="0" w:after="0" w:line="360" w:lineRule="auto"/>
        <w:ind w:left="480" w:leftChars="0" w:right="0" w:rightChars="0"/>
        <w:jc w:val="both"/>
        <w:textAlignment w:val="auto"/>
        <w:outlineLvl w:val="9"/>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w:t>
      </w:r>
      <w:r>
        <w:rPr>
          <w:rFonts w:hint="eastAsia" w:ascii="仿宋" w:hAnsi="仿宋" w:eastAsia="仿宋" w:cs="仿宋"/>
          <w:b/>
          <w:color w:val="auto"/>
          <w:sz w:val="28"/>
          <w:szCs w:val="28"/>
          <w:lang w:val="en-US" w:bidi="ar-SA"/>
        </w:rPr>
        <w:t>盐度及温度</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大多数分散剂在海水中的分散效能比在淡水中好，并且水温越高，分散作用越好，原因是温度升高，则油的粘度降低。</w:t>
      </w:r>
    </w:p>
    <w:p>
      <w:pPr>
        <w:keepLines w:val="0"/>
        <w:pageBreakBefore w:val="0"/>
        <w:widowControl/>
        <w:numPr>
          <w:ilvl w:val="0"/>
          <w:numId w:val="0"/>
        </w:numPr>
        <w:tabs>
          <w:tab w:val="left" w:pos="720"/>
        </w:tabs>
        <w:kinsoku/>
        <w:wordWrap/>
        <w:overflowPunct/>
        <w:topLinePunct w:val="0"/>
        <w:autoSpaceDE/>
        <w:autoSpaceDN/>
        <w:bidi w:val="0"/>
        <w:adjustRightInd/>
        <w:snapToGrid/>
        <w:spacing w:before="0" w:after="0" w:line="360" w:lineRule="auto"/>
        <w:ind w:left="480" w:leftChars="0" w:right="0" w:rightChars="0"/>
        <w:jc w:val="both"/>
        <w:textAlignment w:val="auto"/>
        <w:outlineLvl w:val="9"/>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分</w:t>
      </w:r>
      <w:r>
        <w:rPr>
          <w:rFonts w:hint="eastAsia" w:ascii="仿宋" w:hAnsi="仿宋" w:eastAsia="仿宋" w:cs="仿宋"/>
          <w:b/>
          <w:color w:val="auto"/>
          <w:sz w:val="28"/>
          <w:szCs w:val="28"/>
          <w:lang w:val="en-US" w:bidi="ar-SA"/>
        </w:rPr>
        <w:t>散剂本身的特性</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由于分散剂的组成不完全相同，所用的溶剂也不同，因此对溢油的分散能力也不同。如常规型分散剂更适用于高粘度油，这是因为常规型分散剂的溶剂是烃类化合物，对油有着较好的溶解性，使分散剂容易渗入油层中。</w:t>
      </w:r>
    </w:p>
    <w:p>
      <w:pPr>
        <w:keepLines w:val="0"/>
        <w:pageBreakBefore w:val="0"/>
        <w:widowControl/>
        <w:numPr>
          <w:ilvl w:val="0"/>
          <w:numId w:val="0"/>
        </w:numPr>
        <w:tabs>
          <w:tab w:val="left" w:pos="720"/>
        </w:tabs>
        <w:kinsoku/>
        <w:wordWrap/>
        <w:overflowPunct/>
        <w:topLinePunct w:val="0"/>
        <w:autoSpaceDE/>
        <w:autoSpaceDN/>
        <w:bidi w:val="0"/>
        <w:adjustRightInd/>
        <w:snapToGrid/>
        <w:spacing w:before="0" w:after="0" w:line="360" w:lineRule="auto"/>
        <w:ind w:left="480" w:leftChars="0" w:right="0" w:rightChars="0"/>
        <w:jc w:val="both"/>
        <w:textAlignment w:val="auto"/>
        <w:outlineLvl w:val="9"/>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w:t>
      </w:r>
      <w:r>
        <w:rPr>
          <w:rFonts w:hint="eastAsia" w:ascii="仿宋" w:hAnsi="仿宋" w:eastAsia="仿宋" w:cs="仿宋"/>
          <w:b/>
          <w:color w:val="auto"/>
          <w:sz w:val="28"/>
          <w:szCs w:val="28"/>
          <w:lang w:val="en-US" w:bidi="ar-SA"/>
        </w:rPr>
        <w:t>混合搅拌</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搅拌可以使分散剂与油充分混合，以利于分散剂的溶剂进入油层中。当海况较差时，会增强分散剂的分散效果。如果在平静海面喷洒分散剂，应人为地加以搅拌。</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（2）分散剂的使用比率</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分散剂/油的使用比率在1/100～1/10之间，视油的类型、油膜厚度而定。相同规模的溢油，比重大、粘度高、倾点高、油层厚，分散剂的使用比率大；同一规模、同一类型的溢油，油膜越厚，分散剂中的表面活性剂越不容易进入油层，分散剂的使用比率越大。因此，通常对厚油层进行回收之后，对海面的漂浮油膜使用分散剂进行处理，这样，表面活性剂容易进入油层，使分散剂保持正常的使用比率。</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常规型分散剂溶解溢油能力强，处理高粘度油及风化油的效果好，使用时应直接喷洒，但喷洒后要搅拌。该类分散剂使用前不能用水稀释，使用比率（分散剂/油）在1：1至1：3之间为宜。</w:t>
      </w:r>
    </w:p>
    <w:p>
      <w:pPr>
        <w:spacing w:line="360" w:lineRule="auto"/>
        <w:ind w:firstLine="562" w:firstLineChars="200"/>
        <w:jc w:val="both"/>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6.2.2.3 分散剂的使用管理</w:t>
      </w:r>
    </w:p>
    <w:p>
      <w:pPr>
        <w:spacing w:line="360" w:lineRule="auto"/>
        <w:ind w:firstLine="560" w:firstLineChars="200"/>
        <w:jc w:val="both"/>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rPr>
        <w:t>使用分散剂处理海面溢油只是改变油在海水中的存在形态，不改变溢油的化学性质，并且使用不当还会造成水体的二次污染，溢油分散剂的使用，应符合法律法规和使用准则的要求。</w:t>
      </w:r>
    </w:p>
    <w:p>
      <w:pPr>
        <w:keepLines w:val="0"/>
        <w:pageBreakBefore w:val="0"/>
        <w:widowControl/>
        <w:numPr>
          <w:ilvl w:val="0"/>
          <w:numId w:val="5"/>
        </w:numPr>
        <w:kinsoku/>
        <w:wordWrap/>
        <w:overflowPunct/>
        <w:topLinePunct w:val="0"/>
        <w:autoSpaceDE/>
        <w:autoSpaceDN/>
        <w:bidi w:val="0"/>
        <w:adjustRightInd/>
        <w:snapToGrid/>
        <w:spacing w:before="0" w:after="0" w:line="360" w:lineRule="auto"/>
        <w:ind w:left="0" w:right="0" w:firstLine="54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pacing w:val="-5"/>
          <w:sz w:val="28"/>
          <w:szCs w:val="28"/>
          <w:lang w:val="en-US" w:eastAsia="zh-CN"/>
        </w:rPr>
        <w:t>《中华人民共和国防治船舶污染内河水域环境管理规定》第十三条规定，禁止在内河水域使用溢油分散剂。</w:t>
      </w:r>
    </w:p>
    <w:p>
      <w:pPr>
        <w:keepLines w:val="0"/>
        <w:pageBreakBefore w:val="0"/>
        <w:widowControl/>
        <w:numPr>
          <w:ilvl w:val="0"/>
          <w:numId w:val="5"/>
        </w:numPr>
        <w:kinsoku/>
        <w:wordWrap/>
        <w:overflowPunct/>
        <w:topLinePunct w:val="0"/>
        <w:autoSpaceDE/>
        <w:autoSpaceDN/>
        <w:bidi w:val="0"/>
        <w:adjustRightInd/>
        <w:snapToGrid/>
        <w:spacing w:before="0" w:after="0" w:line="360" w:lineRule="auto"/>
        <w:ind w:left="0" w:leftChars="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GB18188.2-2000《溢油分散剂使用准则》规定了溢油分散剂的使用原则和限制使用原则。</w:t>
      </w:r>
    </w:p>
    <w:p>
      <w:pPr>
        <w:keepLines w:val="0"/>
        <w:pageBreakBefore w:val="0"/>
        <w:widowControl/>
        <w:numPr>
          <w:ilvl w:val="0"/>
          <w:numId w:val="5"/>
        </w:numPr>
        <w:kinsoku/>
        <w:wordWrap/>
        <w:overflowPunct/>
        <w:topLinePunct w:val="0"/>
        <w:autoSpaceDE/>
        <w:autoSpaceDN/>
        <w:bidi w:val="0"/>
        <w:adjustRightInd/>
        <w:snapToGrid/>
        <w:spacing w:before="0" w:after="0" w:line="360" w:lineRule="auto"/>
        <w:ind w:left="0" w:leftChars="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eastAsia="zh-CN" w:bidi="ar-SA"/>
        </w:rPr>
        <w:t>本公司将严格控制溢油分散剂使用，需要使用时遵循“合规、合理、谨慎”的原则，做到安全操作，并向相关主管部门报备使用情况。</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jc w:val="both"/>
        <w:textAlignment w:val="auto"/>
        <w:rPr>
          <w:rFonts w:hint="eastAsia" w:ascii="仿宋" w:hAnsi="仿宋" w:eastAsia="仿宋" w:cs="仿宋"/>
          <w:color w:val="auto"/>
          <w:sz w:val="28"/>
          <w:szCs w:val="28"/>
          <w:lang w:val="en-US" w:eastAsia="zh-CN" w:bidi="ar-SA"/>
        </w:rPr>
      </w:pPr>
    </w:p>
    <w:p>
      <w:pPr>
        <w:spacing w:line="360" w:lineRule="auto"/>
        <w:ind w:firstLine="560" w:firstLineChars="200"/>
        <w:jc w:val="both"/>
        <w:rPr>
          <w:rFonts w:hint="eastAsia" w:ascii="仿宋" w:hAnsi="仿宋" w:eastAsia="仿宋" w:cs="仿宋"/>
          <w:color w:val="auto"/>
          <w:sz w:val="28"/>
          <w:szCs w:val="28"/>
          <w:lang w:val="en-US"/>
        </w:rPr>
      </w:pP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在下述情况下可以考虑使用溢油分散剂处理水面漂浮油或事故溢油：</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水面漂浮油或事故溢油可能向海岸、水产养殖地以及其他对溢油敏感的水域移动，威胁着商业、环境或舒适性的利益，并且在到达上述敏感区域之前既不能通过自然蒸发或者风、浪、流的作用而自行消散，也不能用物理方法围堵或回收处理；</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◆对于物理的机械的方法难于处理的溢油，采用溢油分散剂促使其向水体分散所造成的总的损害比把油留在水面上不处理的损害小；</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◆溢油发生在水深大于20m的非港区水域，可以先使用，然后向主管部门报告；</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◆水面漂浮油或事故溢油的类型及水温适合于化学分散（一般来说，水温需高于拟处理油的倾点5℃以上），气象、海况等环境条件宜于分散油扩散；</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◆在已经发生或可能发生油火灾、爆炸等危及人命或设施安全的不可抗拒情况下。</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下述情况不宜使用溢油分散剂但发生或可能发生危及人命或设施安全的不可抗拒的情况除外。</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●溢油为汽油、煤油等易挥发的轻质油，或呈现彩虹特征的薄油膜；</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●溢油为高蜡含量、高倾点的难于化学分散的油；</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●溢油在环境水温下不呈流态或经过几天风蚀后形成具有清晰边缘的油包水乳化物的厚碎片；</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●溢油发生在封闭的浅水区或平静的水域；</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●溢油发生在淡水水源或对水产资源有重大影响的区域。</w:t>
      </w:r>
    </w:p>
    <w:p>
      <w:pPr>
        <w:numPr>
          <w:ilvl w:val="0"/>
          <w:numId w:val="0"/>
        </w:numPr>
        <w:spacing w:line="360" w:lineRule="auto"/>
        <w:ind w:right="0" w:rightChars="0" w:firstLine="562" w:firstLineChars="200"/>
        <w:jc w:val="both"/>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6.2.2.4 分散剂使用及限制</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使用分散剂处理海面溢油具有许多优点，在分散剂使用过程中，应注意允许使用分散剂的区域、使用量以及其它应考虑问题和使用比率。</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（1）不同水域对分散剂的使用</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b/>
          <w:color w:val="auto"/>
          <w:sz w:val="28"/>
          <w:szCs w:val="28"/>
          <w:lang w:eastAsia="zh-CN"/>
        </w:rPr>
      </w:pPr>
      <w:r>
        <w:rPr>
          <w:rFonts w:hint="eastAsia" w:ascii="仿宋" w:hAnsi="仿宋" w:eastAsia="仿宋" w:cs="仿宋"/>
          <w:color w:val="auto"/>
          <w:sz w:val="28"/>
          <w:szCs w:val="28"/>
          <w:lang w:val="en-US" w:bidi="ar-SA"/>
        </w:rPr>
        <w:t>不同水域对分散剂的使用要求也不同，根据水域的水深、水体交换能力以及海洋生物等情况将使用分散剂的水域分成三种情况，见表</w:t>
      </w:r>
      <w:r>
        <w:rPr>
          <w:rFonts w:hint="eastAsia" w:ascii="仿宋" w:hAnsi="仿宋" w:eastAsia="仿宋" w:cs="仿宋"/>
          <w:color w:val="auto"/>
          <w:sz w:val="28"/>
          <w:szCs w:val="28"/>
          <w:lang w:val="en-US" w:eastAsia="zh-CN" w:bidi="ar-SA"/>
        </w:rPr>
        <w:t>6</w:t>
      </w:r>
      <w:r>
        <w:rPr>
          <w:rFonts w:hint="eastAsia" w:ascii="仿宋" w:hAnsi="仿宋" w:eastAsia="仿宋" w:cs="仿宋"/>
          <w:color w:val="auto"/>
          <w:sz w:val="28"/>
          <w:szCs w:val="28"/>
          <w:lang w:val="en-US" w:bidi="ar-SA"/>
        </w:rPr>
        <w:t>-10。</w:t>
      </w: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-10 使用或不使用分散剂的建议</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355"/>
        <w:gridCol w:w="465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tblHeader/>
          <w:jc w:val="center"/>
        </w:trPr>
        <w:tc>
          <w:tcPr>
            <w:tcW w:w="4357" w:type="dxa"/>
            <w:tcBorders>
              <w:tl2br w:val="nil"/>
              <w:tr2bl w:val="nil"/>
            </w:tcBorders>
            <w:noWrap w:val="0"/>
            <w:vAlign w:val="center"/>
          </w:tcPr>
          <w:p>
            <w:pPr>
              <w:spacing w:line="240" w:lineRule="auto"/>
              <w:jc w:val="center"/>
              <w:rPr>
                <w:rFonts w:hint="eastAsia" w:ascii="仿宋" w:hAnsi="仿宋" w:eastAsia="仿宋" w:cs="仿宋"/>
                <w:b/>
                <w:bCs/>
                <w:color w:val="auto"/>
                <w:sz w:val="24"/>
                <w:szCs w:val="24"/>
              </w:rPr>
            </w:pPr>
            <w:r>
              <w:rPr>
                <w:rFonts w:hint="eastAsia" w:ascii="仿宋" w:hAnsi="仿宋" w:eastAsia="仿宋" w:cs="仿宋"/>
                <w:b/>
                <w:bCs/>
                <w:color w:val="auto"/>
                <w:sz w:val="24"/>
                <w:szCs w:val="24"/>
              </w:rPr>
              <w:t>水域或敏感区</w:t>
            </w:r>
          </w:p>
        </w:tc>
        <w:tc>
          <w:tcPr>
            <w:tcW w:w="4649" w:type="dxa"/>
            <w:tcBorders>
              <w:tl2br w:val="nil"/>
              <w:tr2bl w:val="nil"/>
            </w:tcBorders>
            <w:noWrap w:val="0"/>
            <w:vAlign w:val="center"/>
          </w:tcPr>
          <w:p>
            <w:pPr>
              <w:spacing w:line="240" w:lineRule="auto"/>
              <w:jc w:val="center"/>
              <w:rPr>
                <w:rFonts w:hint="eastAsia" w:ascii="仿宋" w:hAnsi="仿宋" w:eastAsia="仿宋" w:cs="仿宋"/>
                <w:b/>
                <w:bCs/>
                <w:color w:val="auto"/>
                <w:sz w:val="24"/>
                <w:szCs w:val="24"/>
              </w:rPr>
            </w:pPr>
            <w:r>
              <w:rPr>
                <w:rFonts w:hint="eastAsia" w:ascii="仿宋" w:hAnsi="仿宋" w:eastAsia="仿宋" w:cs="仿宋"/>
                <w:b/>
                <w:bCs/>
                <w:color w:val="auto"/>
                <w:sz w:val="24"/>
                <w:szCs w:val="24"/>
              </w:rPr>
              <w:t>建议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7" w:hRule="exact"/>
          <w:jc w:val="center"/>
        </w:trPr>
        <w:tc>
          <w:tcPr>
            <w:tcW w:w="4357"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开阔的海洋，水深在20 m以上</w:t>
            </w:r>
          </w:p>
        </w:tc>
        <w:tc>
          <w:tcPr>
            <w:tcW w:w="464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A．可以使用分散剂，并且可能是较好的方法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50" w:hRule="atLeast"/>
          <w:jc w:val="center"/>
        </w:trPr>
        <w:tc>
          <w:tcPr>
            <w:tcW w:w="4357"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封闭的海湾和海港；</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与不稳定的潮间带的相临水域；</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与海滨相临的水域；</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近岸沙滩、卵石、沙砾区</w:t>
            </w:r>
          </w:p>
        </w:tc>
        <w:tc>
          <w:tcPr>
            <w:tcW w:w="464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B．使用分散剂是减轻溢油的一种可行的方法，但有水体交换能力和水深的限制：还可以优先采用其它方法，有时可以几种方法同时使用。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02" w:hRule="atLeast"/>
          <w:jc w:val="center"/>
        </w:trPr>
        <w:tc>
          <w:tcPr>
            <w:tcW w:w="4357"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沼泽地</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红树林</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鸟和海洋哺乳动物的栖息地</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盐滩</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海草床</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潮间带海草床</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掩蔽的岩石性潮间带</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掩蔽的卵石海滩</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卵石</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流砂</w:t>
            </w:r>
          </w:p>
        </w:tc>
        <w:tc>
          <w:tcPr>
            <w:tcW w:w="464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C．原则上不宜使用或避免使用分散剂。</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但在某些情况下允许使用，如在那里使用分散剂可被潮和流充分地冲洗，为了避免油对环境的长期影响，使用分散剂可能被批准。</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D．如果溢油的威胁对一处或几处敏感区有长期的影响时，可以考虑使用分散剂。</w:t>
            </w:r>
          </w:p>
          <w:p>
            <w:pPr>
              <w:spacing w:line="240" w:lineRule="auto"/>
              <w:rPr>
                <w:rFonts w:hint="eastAsia" w:ascii="仿宋" w:hAnsi="仿宋" w:eastAsia="仿宋" w:cs="仿宋"/>
                <w:color w:val="auto"/>
                <w:sz w:val="24"/>
                <w:szCs w:val="24"/>
              </w:rPr>
            </w:pPr>
          </w:p>
        </w:tc>
      </w:tr>
    </w:tbl>
    <w:p>
      <w:pPr>
        <w:spacing w:after="0" w:line="360" w:lineRule="auto"/>
        <w:jc w:val="both"/>
        <w:rPr>
          <w:rFonts w:hint="eastAsia" w:ascii="仿宋" w:hAnsi="仿宋" w:eastAsia="仿宋" w:cs="仿宋"/>
          <w:b/>
          <w:color w:val="auto"/>
          <w:sz w:val="28"/>
          <w:szCs w:val="28"/>
          <w:lang w:eastAsia="zh-CN"/>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①</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允许使用分散剂。当被分散的油能均匀地混合进入水体，并能发生大范围的混合稀释，使得分散油的浓度很低，对该水域的任何生物都不会造成影响，这种水域对分散剂的使用可不作任何限制，使用量根据油量确定。如水深在20 m以上的开阔海洋属于这一类。</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②</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允许使用分散剂，但使用时间受限或使用量受限。像封闭的海湾和港湾，如这类水域具有较强的水体交换能力，一天内可以交换90％以上，就允许使用。在使用时还要考虑季节、水深和潮汐特点，如在敏感生物产卵季节就要限制使用或限量使用。</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③</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通常情况下不允许使用分散剂，如敏感岸线不宜使用分散剂。但当油的影响周期很长的话，也可以考虑使用。</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rPr>
        <w:t>（2）分散剂的用量</w:t>
      </w:r>
    </w:p>
    <w:p>
      <w:pPr>
        <w:spacing w:line="360" w:lineRule="auto"/>
        <w:ind w:firstLine="560" w:firstLineChars="200"/>
        <w:jc w:val="both"/>
        <w:rPr>
          <w:rFonts w:hint="eastAsia" w:ascii="仿宋" w:hAnsi="仿宋" w:eastAsia="仿宋" w:cs="仿宋"/>
          <w:b/>
          <w:color w:val="auto"/>
          <w:sz w:val="28"/>
          <w:szCs w:val="28"/>
        </w:rPr>
      </w:pPr>
      <w:r>
        <w:rPr>
          <w:rFonts w:hint="eastAsia" w:ascii="仿宋" w:hAnsi="仿宋" w:eastAsia="仿宋" w:cs="仿宋"/>
          <w:sz w:val="28"/>
          <w:szCs w:val="28"/>
        </w:rPr>
        <w:t>对水深不到20 m的水域，在海洋生态可接受的情况下，分散剂的允许用量应根据水深来确定。允许用量应以水域的各个水层（从表层到底层）均匀混合的油分散剂的混合浓度不超过10ppm的计算。使用量见表</w:t>
      </w:r>
      <w:r>
        <w:rPr>
          <w:rFonts w:hint="eastAsia" w:ascii="仿宋" w:hAnsi="仿宋" w:eastAsia="仿宋" w:cs="仿宋"/>
          <w:sz w:val="28"/>
          <w:szCs w:val="28"/>
          <w:lang w:val="en-US" w:eastAsia="zh-CN"/>
        </w:rPr>
        <w:t>6</w:t>
      </w:r>
      <w:r>
        <w:rPr>
          <w:rFonts w:hint="eastAsia" w:ascii="仿宋" w:hAnsi="仿宋" w:eastAsia="仿宋" w:cs="仿宋"/>
          <w:sz w:val="28"/>
          <w:szCs w:val="28"/>
        </w:rPr>
        <w:t>-11。</w:t>
      </w:r>
    </w:p>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-11 分散剂在不同水深水域的使用量</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078"/>
        <w:gridCol w:w="1111"/>
        <w:gridCol w:w="979"/>
        <w:gridCol w:w="850"/>
        <w:gridCol w:w="1111"/>
        <w:gridCol w:w="1063"/>
        <w:gridCol w:w="181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908"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水域的水深（m）</w:t>
            </w:r>
          </w:p>
        </w:tc>
        <w:tc>
          <w:tcPr>
            <w:tcW w:w="1020" w:type="dxa"/>
            <w:tcBorders>
              <w:tl2br w:val="nil"/>
              <w:tr2bl w:val="nil"/>
            </w:tcBorders>
            <w:noWrap w:val="0"/>
            <w:vAlign w:val="center"/>
          </w:tcPr>
          <w:p>
            <w:pPr>
              <w:spacing w:line="240" w:lineRule="auto"/>
              <w:ind w:firstLine="210" w:firstLineChars="100"/>
              <w:jc w:val="both"/>
              <w:rPr>
                <w:rFonts w:hint="eastAsia" w:ascii="仿宋" w:hAnsi="仿宋" w:eastAsia="仿宋" w:cs="仿宋"/>
                <w:color w:val="auto"/>
                <w:sz w:val="21"/>
                <w:szCs w:val="21"/>
              </w:rPr>
            </w:pPr>
            <w:r>
              <w:rPr>
                <w:rFonts w:hint="eastAsia" w:ascii="仿宋" w:hAnsi="仿宋" w:eastAsia="仿宋" w:cs="仿宋"/>
                <w:color w:val="auto"/>
                <w:sz w:val="21"/>
                <w:szCs w:val="21"/>
              </w:rPr>
              <w:t>&lt;1</w:t>
            </w:r>
          </w:p>
        </w:tc>
        <w:tc>
          <w:tcPr>
            <w:tcW w:w="90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1～2</w:t>
            </w:r>
          </w:p>
        </w:tc>
        <w:tc>
          <w:tcPr>
            <w:tcW w:w="78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2～5</w:t>
            </w:r>
          </w:p>
        </w:tc>
        <w:tc>
          <w:tcPr>
            <w:tcW w:w="102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5～10</w:t>
            </w:r>
          </w:p>
        </w:tc>
        <w:tc>
          <w:tcPr>
            <w:tcW w:w="975"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10～20</w:t>
            </w:r>
          </w:p>
        </w:tc>
        <w:tc>
          <w:tcPr>
            <w:tcW w:w="1666"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&gt;20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37" w:hRule="exact"/>
          <w:jc w:val="center"/>
        </w:trPr>
        <w:tc>
          <w:tcPr>
            <w:tcW w:w="1908"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分散剂使用量</w:t>
            </w:r>
          </w:p>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（升/亩）</w:t>
            </w:r>
          </w:p>
        </w:tc>
        <w:tc>
          <w:tcPr>
            <w:tcW w:w="102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&lt;3.785</w:t>
            </w:r>
          </w:p>
        </w:tc>
        <w:tc>
          <w:tcPr>
            <w:tcW w:w="90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3.785</w:t>
            </w:r>
          </w:p>
        </w:tc>
        <w:tc>
          <w:tcPr>
            <w:tcW w:w="78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7.57</w:t>
            </w:r>
          </w:p>
        </w:tc>
        <w:tc>
          <w:tcPr>
            <w:tcW w:w="102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18.925</w:t>
            </w:r>
          </w:p>
        </w:tc>
        <w:tc>
          <w:tcPr>
            <w:tcW w:w="975"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37.8</w:t>
            </w:r>
          </w:p>
        </w:tc>
        <w:tc>
          <w:tcPr>
            <w:tcW w:w="1666" w:type="dxa"/>
            <w:tcBorders>
              <w:tl2br w:val="nil"/>
              <w:tr2bl w:val="nil"/>
            </w:tcBorders>
            <w:noWrap w:val="0"/>
            <w:vAlign w:val="center"/>
          </w:tcPr>
          <w:p>
            <w:pPr>
              <w:spacing w:line="240" w:lineRule="auto"/>
              <w:jc w:val="both"/>
              <w:rPr>
                <w:rFonts w:hint="eastAsia" w:ascii="仿宋" w:hAnsi="仿宋" w:eastAsia="仿宋" w:cs="仿宋"/>
                <w:color w:val="auto"/>
                <w:sz w:val="21"/>
                <w:szCs w:val="21"/>
              </w:rPr>
            </w:pPr>
            <w:r>
              <w:rPr>
                <w:rFonts w:hint="eastAsia" w:ascii="仿宋" w:hAnsi="仿宋" w:eastAsia="仿宋" w:cs="仿宋"/>
                <w:color w:val="auto"/>
                <w:sz w:val="21"/>
                <w:szCs w:val="21"/>
              </w:rPr>
              <w:t>允许使用分散剂</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rPr>
              <w:t>用量按水面油量定</w:t>
            </w:r>
          </w:p>
        </w:tc>
      </w:tr>
    </w:tbl>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对某一特定水域，如何判断可否使用分散剂？若允许使用，使用量为多少？可以根据表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-10提出的建议，按照水域的实际情况先决定能否使用；若允许使用，再参考表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-11所提出的建议，根据实际水深和海洋生物的情况确定用量。</w:t>
      </w:r>
    </w:p>
    <w:p>
      <w:pPr>
        <w:pStyle w:val="28"/>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.2.2.5</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分散剂的喷洒</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b/>
          <w:color w:val="auto"/>
          <w:sz w:val="28"/>
          <w:szCs w:val="28"/>
        </w:rPr>
      </w:pPr>
      <w:r>
        <w:rPr>
          <w:rFonts w:hint="eastAsia" w:ascii="仿宋" w:hAnsi="仿宋" w:eastAsia="仿宋" w:cs="仿宋"/>
          <w:color w:val="auto"/>
          <w:sz w:val="28"/>
          <w:szCs w:val="28"/>
        </w:rPr>
        <w:t>分散剂可通过船舶喷洒和人工喷洒。选用何种喷洒方法，主要取决于分散剂的类型、溢油的位置、面积大小以及喷洒分散剂的船舶的有效利用率。本公司配套了船</w:t>
      </w:r>
      <w:r>
        <w:rPr>
          <w:rFonts w:hint="eastAsia" w:ascii="仿宋" w:hAnsi="仿宋" w:eastAsia="仿宋" w:cs="仿宋"/>
          <w:color w:val="auto"/>
          <w:sz w:val="28"/>
          <w:szCs w:val="28"/>
          <w:lang w:eastAsia="zh-CN"/>
        </w:rPr>
        <w:t>用</w:t>
      </w:r>
      <w:r>
        <w:rPr>
          <w:rFonts w:hint="eastAsia" w:ascii="仿宋" w:hAnsi="仿宋" w:eastAsia="仿宋" w:cs="仿宋"/>
          <w:color w:val="auto"/>
          <w:sz w:val="28"/>
          <w:szCs w:val="28"/>
        </w:rPr>
        <w:t>喷洒装置</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套，</w:t>
      </w:r>
      <w:r>
        <w:rPr>
          <w:rFonts w:hint="eastAsia" w:ascii="仿宋" w:hAnsi="仿宋" w:eastAsia="仿宋" w:cs="仿宋"/>
          <w:color w:val="auto"/>
          <w:sz w:val="28"/>
          <w:szCs w:val="28"/>
          <w:lang w:eastAsia="zh-CN"/>
        </w:rPr>
        <w:t>手持</w:t>
      </w:r>
      <w:r>
        <w:rPr>
          <w:rFonts w:hint="eastAsia" w:ascii="仿宋" w:hAnsi="仿宋" w:eastAsia="仿宋" w:cs="仿宋"/>
          <w:color w:val="auto"/>
          <w:sz w:val="28"/>
          <w:szCs w:val="28"/>
        </w:rPr>
        <w:t>喷洒装置</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套，具体型号和性能见表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-12。</w:t>
      </w:r>
    </w:p>
    <w:p>
      <w:pPr>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-12 本公司喷洒装置配备情况表</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1"/>
        <w:gridCol w:w="1781"/>
        <w:gridCol w:w="924"/>
        <w:gridCol w:w="954"/>
        <w:gridCol w:w="1520"/>
        <w:gridCol w:w="292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828" w:type="dxa"/>
            <w:tcBorders>
              <w:tl2br w:val="nil"/>
              <w:tr2bl w:val="nil"/>
            </w:tcBorders>
            <w:noWrap w:val="0"/>
            <w:vAlign w:val="center"/>
          </w:tcPr>
          <w:p>
            <w:pPr>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635" w:type="dxa"/>
            <w:tcBorders>
              <w:tl2br w:val="nil"/>
              <w:tr2bl w:val="nil"/>
            </w:tcBorders>
            <w:noWrap w:val="0"/>
            <w:vAlign w:val="center"/>
          </w:tcPr>
          <w:p>
            <w:pPr>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849" w:type="dxa"/>
            <w:tcBorders>
              <w:tl2br w:val="nil"/>
              <w:tr2bl w:val="nil"/>
            </w:tcBorders>
            <w:noWrap w:val="0"/>
            <w:vAlign w:val="center"/>
          </w:tcPr>
          <w:p>
            <w:pPr>
              <w:jc w:val="both"/>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876" w:type="dxa"/>
            <w:tcBorders>
              <w:tl2br w:val="nil"/>
              <w:tr2bl w:val="nil"/>
            </w:tcBorders>
            <w:noWrap w:val="0"/>
            <w:vAlign w:val="center"/>
          </w:tcPr>
          <w:p>
            <w:pPr>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1395" w:type="dxa"/>
            <w:tcBorders>
              <w:tl2br w:val="nil"/>
              <w:tr2bl w:val="nil"/>
            </w:tcBorders>
            <w:noWrap w:val="0"/>
            <w:vAlign w:val="center"/>
          </w:tcPr>
          <w:p>
            <w:pPr>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厂家名称</w:t>
            </w:r>
          </w:p>
        </w:tc>
        <w:tc>
          <w:tcPr>
            <w:tcW w:w="2687" w:type="dxa"/>
            <w:tcBorders>
              <w:tl2br w:val="nil"/>
              <w:tr2bl w:val="nil"/>
            </w:tcBorders>
            <w:noWrap w:val="0"/>
            <w:vAlign w:val="center"/>
          </w:tcPr>
          <w:p>
            <w:pPr>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主要技术参数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02" w:hRule="exact"/>
          <w:jc w:val="center"/>
        </w:trPr>
        <w:tc>
          <w:tcPr>
            <w:tcW w:w="828"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635"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lang w:eastAsia="zh-CN"/>
              </w:rPr>
              <w:t>船用</w:t>
            </w:r>
            <w:r>
              <w:rPr>
                <w:rFonts w:hint="eastAsia" w:ascii="仿宋" w:hAnsi="仿宋" w:eastAsia="仿宋" w:cs="仿宋"/>
                <w:color w:val="auto"/>
                <w:sz w:val="24"/>
                <w:szCs w:val="24"/>
              </w:rPr>
              <w:t>喷洒</w:t>
            </w:r>
          </w:p>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装置</w:t>
            </w:r>
          </w:p>
        </w:tc>
        <w:tc>
          <w:tcPr>
            <w:tcW w:w="849"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PS140</w:t>
            </w:r>
          </w:p>
        </w:tc>
        <w:tc>
          <w:tcPr>
            <w:tcW w:w="876"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4</w:t>
            </w:r>
            <w:r>
              <w:rPr>
                <w:rFonts w:hint="eastAsia" w:ascii="仿宋" w:hAnsi="仿宋" w:eastAsia="仿宋" w:cs="仿宋"/>
                <w:color w:val="auto"/>
                <w:sz w:val="24"/>
                <w:szCs w:val="24"/>
                <w:lang w:eastAsia="zh-CN"/>
              </w:rPr>
              <w:t>套</w:t>
            </w:r>
          </w:p>
        </w:tc>
        <w:tc>
          <w:tcPr>
            <w:tcW w:w="1395"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青岛华海</w:t>
            </w:r>
          </w:p>
        </w:tc>
        <w:tc>
          <w:tcPr>
            <w:tcW w:w="2687" w:type="dxa"/>
            <w:tcBorders>
              <w:tl2br w:val="nil"/>
              <w:tr2bl w:val="nil"/>
            </w:tcBorders>
            <w:noWrap w:val="0"/>
            <w:vAlign w:val="center"/>
          </w:tcPr>
          <w:p>
            <w:pPr>
              <w:jc w:val="both"/>
              <w:rPr>
                <w:rFonts w:hint="eastAsia" w:ascii="仿宋" w:hAnsi="仿宋" w:eastAsia="仿宋" w:cs="仿宋"/>
                <w:color w:val="auto"/>
                <w:sz w:val="24"/>
                <w:szCs w:val="24"/>
              </w:rPr>
            </w:pPr>
            <w:r>
              <w:rPr>
                <w:rFonts w:hint="eastAsia" w:ascii="仿宋" w:hAnsi="仿宋" w:eastAsia="仿宋" w:cs="仿宋"/>
                <w:color w:val="auto"/>
                <w:sz w:val="24"/>
                <w:szCs w:val="24"/>
              </w:rPr>
              <w:t>主要用于处理分散各种水域溢油</w:t>
            </w:r>
          </w:p>
          <w:p>
            <w:pPr>
              <w:jc w:val="both"/>
              <w:rPr>
                <w:rFonts w:hint="eastAsia" w:ascii="仿宋" w:hAnsi="仿宋" w:eastAsia="仿宋" w:cs="仿宋"/>
                <w:color w:val="auto"/>
                <w:sz w:val="24"/>
                <w:szCs w:val="24"/>
              </w:rPr>
            </w:pPr>
            <w:r>
              <w:rPr>
                <w:rFonts w:hint="eastAsia" w:ascii="仿宋" w:hAnsi="仿宋" w:eastAsia="仿宋" w:cs="仿宋"/>
                <w:color w:val="auto"/>
                <w:sz w:val="24"/>
                <w:szCs w:val="24"/>
              </w:rPr>
              <w:t>最大喷洒射程12m</w:t>
            </w:r>
          </w:p>
          <w:p>
            <w:pPr>
              <w:jc w:val="both"/>
              <w:rPr>
                <w:rFonts w:hint="eastAsia" w:ascii="仿宋" w:hAnsi="仿宋" w:eastAsia="仿宋" w:cs="仿宋"/>
                <w:color w:val="auto"/>
                <w:sz w:val="24"/>
                <w:szCs w:val="24"/>
              </w:rPr>
            </w:pPr>
          </w:p>
          <w:p>
            <w:pPr>
              <w:jc w:val="both"/>
              <w:rPr>
                <w:rFonts w:hint="eastAsia" w:ascii="仿宋" w:hAnsi="仿宋" w:eastAsia="仿宋" w:cs="仿宋"/>
                <w:color w:val="auto"/>
                <w:sz w:val="24"/>
                <w:szCs w:val="24"/>
              </w:rPr>
            </w:pPr>
          </w:p>
          <w:p>
            <w:pPr>
              <w:jc w:val="both"/>
              <w:rPr>
                <w:rFonts w:hint="eastAsia" w:ascii="仿宋" w:hAnsi="仿宋" w:eastAsia="仿宋" w:cs="仿宋"/>
                <w:color w:val="auto"/>
                <w:sz w:val="24"/>
                <w:szCs w:val="24"/>
              </w:rPr>
            </w:pPr>
          </w:p>
          <w:p>
            <w:pPr>
              <w:jc w:val="both"/>
              <w:rPr>
                <w:rFonts w:hint="eastAsia" w:ascii="仿宋" w:hAnsi="仿宋" w:eastAsia="仿宋" w:cs="仿宋"/>
                <w:color w:val="auto"/>
                <w:sz w:val="24"/>
                <w:szCs w:val="24"/>
              </w:rPr>
            </w:pPr>
            <w:r>
              <w:rPr>
                <w:rFonts w:hint="eastAsia" w:ascii="仿宋" w:hAnsi="仿宋" w:eastAsia="仿宋" w:cs="仿宋"/>
                <w:color w:val="auto"/>
                <w:sz w:val="24"/>
                <w:szCs w:val="24"/>
              </w:rPr>
              <w:t>喷洒速度为8.4吨/小时</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27" w:hRule="exact"/>
          <w:jc w:val="center"/>
        </w:trPr>
        <w:tc>
          <w:tcPr>
            <w:tcW w:w="828"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1635"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lang w:eastAsia="zh-CN"/>
              </w:rPr>
              <w:t>手持</w:t>
            </w:r>
            <w:r>
              <w:rPr>
                <w:rFonts w:hint="eastAsia" w:ascii="仿宋" w:hAnsi="仿宋" w:eastAsia="仿宋" w:cs="仿宋"/>
                <w:color w:val="auto"/>
                <w:sz w:val="24"/>
                <w:szCs w:val="24"/>
              </w:rPr>
              <w:t>式喷洒</w:t>
            </w:r>
          </w:p>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装置</w:t>
            </w:r>
          </w:p>
        </w:tc>
        <w:tc>
          <w:tcPr>
            <w:tcW w:w="849"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PS40</w:t>
            </w:r>
          </w:p>
        </w:tc>
        <w:tc>
          <w:tcPr>
            <w:tcW w:w="876"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8台</w:t>
            </w:r>
          </w:p>
        </w:tc>
        <w:tc>
          <w:tcPr>
            <w:tcW w:w="1395"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青岛华海</w:t>
            </w:r>
          </w:p>
        </w:tc>
        <w:tc>
          <w:tcPr>
            <w:tcW w:w="2687" w:type="dxa"/>
            <w:tcBorders>
              <w:tl2br w:val="nil"/>
              <w:tr2bl w:val="nil"/>
            </w:tcBorders>
            <w:noWrap w:val="0"/>
            <w:vAlign w:val="center"/>
          </w:tcPr>
          <w:p>
            <w:pPr>
              <w:jc w:val="both"/>
              <w:rPr>
                <w:rFonts w:hint="eastAsia" w:ascii="仿宋" w:hAnsi="仿宋" w:eastAsia="仿宋" w:cs="仿宋"/>
                <w:color w:val="auto"/>
                <w:sz w:val="24"/>
                <w:szCs w:val="24"/>
              </w:rPr>
            </w:pPr>
            <w:r>
              <w:rPr>
                <w:rFonts w:hint="eastAsia" w:ascii="仿宋" w:hAnsi="仿宋" w:eastAsia="仿宋" w:cs="仿宋"/>
                <w:color w:val="auto"/>
                <w:sz w:val="24"/>
                <w:szCs w:val="24"/>
              </w:rPr>
              <w:t>最大流量2.4吨/小时</w:t>
            </w:r>
          </w:p>
        </w:tc>
      </w:tr>
    </w:tbl>
    <w:p>
      <w:pPr>
        <w:keepLines w:val="0"/>
        <w:pageBreakBefore w:val="0"/>
        <w:widowControl/>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b/>
          <w:color w:val="auto"/>
          <w:sz w:val="24"/>
          <w:szCs w:val="24"/>
        </w:rPr>
      </w:pP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（1）船舶喷洒</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本公司的</w:t>
      </w:r>
      <w:r>
        <w:rPr>
          <w:rFonts w:hint="eastAsia" w:ascii="仿宋" w:hAnsi="仿宋" w:eastAsia="仿宋" w:cs="仿宋"/>
          <w:sz w:val="28"/>
          <w:szCs w:val="28"/>
          <w:lang w:val="en-US" w:eastAsia="zh-CN"/>
        </w:rPr>
        <w:t>1</w:t>
      </w:r>
      <w:r>
        <w:rPr>
          <w:rFonts w:hint="eastAsia" w:ascii="仿宋" w:hAnsi="仿宋" w:eastAsia="仿宋" w:cs="仿宋"/>
          <w:sz w:val="28"/>
          <w:szCs w:val="28"/>
        </w:rPr>
        <w:t>艘溢油应急处置船具备溢油分散剂的喷洒功能，可独立进行溢油分散剂的船舶喷洒功能。</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专用的船舶喷洒装置由耐腐蚀的分散剂储存柜、分散剂泵/水泵、计量表、带有喷嘴的喷管及软管组成。喷洒作业时，船舶可通过船舶的螺旋桨自然搅拌，使分散剂、油、海水充分地混合。</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b/>
          <w:bCs/>
          <w:color w:val="auto"/>
          <w:sz w:val="28"/>
          <w:szCs w:val="28"/>
        </w:rPr>
        <w:t>①</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船舶使用专用喷洒装置的优点</w:t>
      </w:r>
      <w:r>
        <w:rPr>
          <w:rFonts w:hint="eastAsia" w:ascii="仿宋" w:hAnsi="仿宋" w:eastAsia="仿宋" w:cs="仿宋"/>
          <w:color w:val="auto"/>
          <w:sz w:val="28"/>
          <w:szCs w:val="28"/>
        </w:rPr>
        <w:t>：</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◆通过螺旋桨或其它搅拌装置搅拌被处理的油膜，使分散剂和油得到必要的混合提高分散效果。</w:t>
      </w:r>
    </w:p>
    <w:p>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◆8-10 m的喷洒臂实现大面积喷洒，速度快，效率高。</w:t>
      </w:r>
    </w:p>
    <w:p>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◆既可以喷洒常规型分散剂又可以喷洒浓缩型分散剂。</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为了保证水面的最佳搅拌作用，船舶航速应维持在4-10海里/小时。</w:t>
      </w:r>
    </w:p>
    <w:p>
      <w:pPr>
        <w:spacing w:line="360" w:lineRule="auto"/>
        <w:ind w:firstLine="562" w:firstLineChars="200"/>
        <w:jc w:val="both"/>
        <w:rPr>
          <w:rFonts w:hint="eastAsia" w:ascii="仿宋" w:hAnsi="仿宋" w:eastAsia="仿宋" w:cs="仿宋"/>
          <w:color w:val="auto"/>
          <w:sz w:val="28"/>
          <w:szCs w:val="28"/>
        </w:rPr>
      </w:pPr>
      <w:r>
        <w:rPr>
          <w:rFonts w:hint="eastAsia" w:ascii="仿宋" w:hAnsi="仿宋" w:eastAsia="仿宋" w:cs="仿宋"/>
          <w:b/>
          <w:bCs/>
          <w:color w:val="auto"/>
          <w:sz w:val="28"/>
          <w:szCs w:val="28"/>
        </w:rPr>
        <w:t>②</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喷洒</w:t>
      </w:r>
      <w:r>
        <w:rPr>
          <w:rFonts w:hint="eastAsia" w:ascii="仿宋" w:hAnsi="仿宋" w:eastAsia="仿宋" w:cs="仿宋"/>
          <w:b/>
          <w:bCs/>
          <w:color w:val="auto"/>
          <w:sz w:val="28"/>
          <w:szCs w:val="28"/>
          <w:lang w:eastAsia="zh-CN"/>
        </w:rPr>
        <w:t>臂</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如果喷洒臂装在船艏，则可解决顶艏波浪带来的问题，船舶也能以较高的航速进行喷洒作业。这种方式所需搅拌较小，适应性较大，油的处理能力也较大。此外，顶艏波浪本身还起着搅拌作用。由于大部分船舶干舷高于船艏，因而喷洒臂可以做得更长一些，喷洒宽度可以增加，进而改善潜在的处理能力。</w:t>
      </w:r>
    </w:p>
    <w:p>
      <w:pPr>
        <w:spacing w:line="360" w:lineRule="auto"/>
        <w:ind w:firstLine="562" w:firstLineChars="200"/>
        <w:jc w:val="both"/>
        <w:rPr>
          <w:rFonts w:hint="eastAsia" w:ascii="仿宋" w:hAnsi="仿宋" w:eastAsia="仿宋" w:cs="仿宋"/>
          <w:b/>
          <w:bCs w:val="0"/>
          <w:color w:val="auto"/>
          <w:sz w:val="28"/>
          <w:szCs w:val="28"/>
        </w:rPr>
      </w:pPr>
      <w:r>
        <w:rPr>
          <w:rFonts w:hint="eastAsia" w:ascii="仿宋" w:hAnsi="仿宋" w:eastAsia="仿宋" w:cs="仿宋"/>
          <w:b/>
          <w:bCs w:val="0"/>
          <w:color w:val="auto"/>
          <w:sz w:val="28"/>
          <w:szCs w:val="28"/>
        </w:rPr>
        <w:t>③</w:t>
      </w:r>
      <w:r>
        <w:rPr>
          <w:rFonts w:hint="eastAsia" w:ascii="仿宋" w:hAnsi="仿宋" w:eastAsia="仿宋" w:cs="仿宋"/>
          <w:b/>
          <w:bCs w:val="0"/>
          <w:color w:val="auto"/>
          <w:sz w:val="28"/>
          <w:szCs w:val="28"/>
          <w:lang w:val="en-US" w:eastAsia="zh-CN"/>
        </w:rPr>
        <w:t xml:space="preserve"> </w:t>
      </w:r>
      <w:r>
        <w:rPr>
          <w:rFonts w:hint="eastAsia" w:ascii="仿宋" w:hAnsi="仿宋" w:eastAsia="仿宋" w:cs="仿宋"/>
          <w:b/>
          <w:bCs w:val="0"/>
          <w:color w:val="auto"/>
          <w:sz w:val="28"/>
          <w:szCs w:val="28"/>
        </w:rPr>
        <w:t>喷洒率</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喷洒率的大小取决于溢油类型、油膜厚度以及油的流动状态。控制喷洒率可采用两种方法，即改变泵的速率，或者保持泵的速率而改变船舶的航速。泵排放率计算式如下：</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泵排放率（L/min）=0.003×喷洒率（L/ha）×航速（knots）×喷洒宽度（m）</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④</w:t>
      </w:r>
      <w:r>
        <w:rPr>
          <w:rFonts w:hint="eastAsia" w:ascii="仿宋" w:hAnsi="仿宋" w:eastAsia="仿宋" w:cs="仿宋"/>
          <w:b/>
          <w:color w:val="auto"/>
          <w:sz w:val="28"/>
          <w:szCs w:val="28"/>
          <w:lang w:val="en-US" w:eastAsia="zh-CN"/>
        </w:rPr>
        <w:t xml:space="preserve"> </w:t>
      </w:r>
      <w:r>
        <w:rPr>
          <w:rFonts w:hint="eastAsia" w:ascii="仿宋" w:hAnsi="仿宋" w:eastAsia="仿宋" w:cs="仿宋"/>
          <w:b/>
          <w:color w:val="auto"/>
          <w:sz w:val="28"/>
          <w:szCs w:val="28"/>
        </w:rPr>
        <w:t>喷洒作业注意事项</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280" w:firstLineChars="1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◆通常，喷洒次序要从油膜的较厚部分以及油膜的外部边缘开始，不要从中间或油膜较薄的地方开始。</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280" w:firstLineChars="1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◆如果油膜在近岸海域，最好的作业方式是尽可能与岸线平行作业。</w:t>
      </w:r>
    </w:p>
    <w:p>
      <w:pPr>
        <w:spacing w:line="360" w:lineRule="auto"/>
        <w:ind w:firstLine="280" w:firstLineChars="100"/>
        <w:jc w:val="both"/>
        <w:rPr>
          <w:rFonts w:hint="eastAsia" w:ascii="仿宋" w:hAnsi="仿宋" w:eastAsia="仿宋" w:cs="仿宋"/>
          <w:sz w:val="28"/>
          <w:szCs w:val="28"/>
        </w:rPr>
      </w:pPr>
      <w:r>
        <w:rPr>
          <w:rFonts w:hint="eastAsia" w:ascii="仿宋" w:hAnsi="仿宋" w:eastAsia="仿宋" w:cs="仿宋"/>
          <w:sz w:val="28"/>
          <w:szCs w:val="28"/>
        </w:rPr>
        <w:t>◆船舶顺着风向作业以避免分散剂被吹到甲板上。</w:t>
      </w:r>
    </w:p>
    <w:p>
      <w:pPr>
        <w:spacing w:line="360" w:lineRule="auto"/>
        <w:ind w:firstLine="280" w:firstLineChars="100"/>
        <w:jc w:val="both"/>
        <w:rPr>
          <w:rFonts w:hint="eastAsia" w:ascii="仿宋" w:hAnsi="仿宋" w:eastAsia="仿宋" w:cs="仿宋"/>
          <w:sz w:val="28"/>
          <w:szCs w:val="28"/>
        </w:rPr>
      </w:pPr>
      <w:r>
        <w:rPr>
          <w:rFonts w:hint="eastAsia" w:ascii="仿宋" w:hAnsi="仿宋" w:eastAsia="仿宋" w:cs="仿宋"/>
          <w:sz w:val="28"/>
          <w:szCs w:val="28"/>
        </w:rPr>
        <w:t>◆如果油带为一窄条，与风向垂直，则船舶应在油膜的上风向沿着油带喷洒。鉴于分散剂喷雾受风的影响而横向偏移，船舶只能用下风侧单臂喷洒。</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280" w:firstLineChars="1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◆分散剂的喷洒作业应尽可能在溢油事故发生后的短时间内进行，因为时间过长，油的风化会造成“乳化”，降低分散效果。</w:t>
      </w:r>
    </w:p>
    <w:p>
      <w:pPr>
        <w:spacing w:line="360" w:lineRule="auto"/>
        <w:ind w:firstLine="562" w:firstLineChars="200"/>
        <w:rPr>
          <w:rFonts w:hint="eastAsia" w:ascii="仿宋" w:hAnsi="仿宋" w:eastAsia="仿宋" w:cs="仿宋"/>
          <w:b/>
          <w:bCs/>
          <w:sz w:val="28"/>
          <w:szCs w:val="28"/>
        </w:rPr>
      </w:pPr>
      <w:r>
        <w:rPr>
          <w:rFonts w:hint="eastAsia" w:ascii="仿宋" w:hAnsi="仿宋" w:eastAsia="仿宋" w:cs="仿宋"/>
          <w:b/>
          <w:bCs/>
          <w:sz w:val="28"/>
          <w:szCs w:val="28"/>
        </w:rPr>
        <w:t>⑤</w:t>
      </w: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rPr>
        <w:t>分散剂在岸线的应用</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sz w:val="28"/>
          <w:szCs w:val="28"/>
        </w:rPr>
        <w:t>分散剂在岸线的应用要视具体情况具体分析，并没有通用的方法，但</w:t>
      </w:r>
      <w:r>
        <w:rPr>
          <w:rFonts w:hint="eastAsia" w:ascii="仿宋" w:hAnsi="仿宋" w:eastAsia="仿宋" w:cs="仿宋"/>
          <w:color w:val="auto"/>
          <w:sz w:val="28"/>
          <w:szCs w:val="28"/>
        </w:rPr>
        <w:t>对于海滩上的溢油并不是直接喷洒分散剂，而是在海水冲刷之后的较短时间内（30 min）进行喷洒。在有潮汛的岸线应在涨潮前进行喷洒，避免将油带入底层。对于岩石、护岸和其他人造构筑物的清洗，通常要借助于人工刷擦，再用高压水冲洗。</w:t>
      </w:r>
    </w:p>
    <w:p>
      <w:pPr>
        <w:spacing w:after="0"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分散剂在岸线应用时应注意的是，对工业的取水口、盐场等敏感区严禁使用。</w:t>
      </w:r>
    </w:p>
    <w:p>
      <w:pPr>
        <w:numPr>
          <w:ilvl w:val="0"/>
          <w:numId w:val="0"/>
        </w:numPr>
        <w:spacing w:after="0" w:line="360" w:lineRule="auto"/>
        <w:ind w:leftChars="200" w:right="0" w:rightChars="0"/>
        <w:jc w:val="both"/>
        <w:rPr>
          <w:rFonts w:hint="eastAsia" w:ascii="仿宋" w:hAnsi="仿宋" w:eastAsia="仿宋" w:cs="仿宋"/>
          <w:b/>
          <w:bCs/>
          <w:color w:val="auto"/>
          <w:sz w:val="28"/>
          <w:szCs w:val="28"/>
          <w:lang w:eastAsia="zh-CN"/>
        </w:rPr>
      </w:pPr>
      <w:r>
        <w:rPr>
          <w:rFonts w:hint="eastAsia" w:ascii="仿宋" w:hAnsi="仿宋" w:eastAsia="仿宋" w:cs="仿宋"/>
          <w:b/>
          <w:bCs/>
          <w:color w:val="auto"/>
          <w:sz w:val="28"/>
          <w:szCs w:val="28"/>
          <w:lang w:eastAsia="zh-CN"/>
        </w:rPr>
        <w:t>（</w:t>
      </w:r>
      <w:r>
        <w:rPr>
          <w:rFonts w:hint="eastAsia" w:ascii="仿宋" w:hAnsi="仿宋" w:eastAsia="仿宋" w:cs="仿宋"/>
          <w:b/>
          <w:bCs/>
          <w:color w:val="auto"/>
          <w:sz w:val="28"/>
          <w:szCs w:val="28"/>
          <w:lang w:val="en-US" w:eastAsia="zh-CN"/>
        </w:rPr>
        <w:t>2</w:t>
      </w:r>
      <w:r>
        <w:rPr>
          <w:rFonts w:hint="eastAsia" w:ascii="仿宋" w:hAnsi="仿宋" w:eastAsia="仿宋" w:cs="仿宋"/>
          <w:b/>
          <w:bCs/>
          <w:color w:val="auto"/>
          <w:sz w:val="28"/>
          <w:szCs w:val="28"/>
          <w:lang w:eastAsia="zh-CN"/>
        </w:rPr>
        <w:t>）手持喷洒</w:t>
      </w:r>
    </w:p>
    <w:p>
      <w:pPr>
        <w:widowControl w:val="0"/>
        <w:numPr>
          <w:ilvl w:val="0"/>
          <w:numId w:val="0"/>
        </w:numPr>
        <w:autoSpaceDE w:val="0"/>
        <w:autoSpaceDN w:val="0"/>
        <w:spacing w:before="0" w:after="0" w:line="360" w:lineRule="auto"/>
        <w:ind w:right="0" w:rightChars="0" w:firstLine="560" w:firstLineChars="200"/>
        <w:jc w:val="both"/>
        <w:rPr>
          <w:rFonts w:hint="eastAsia" w:ascii="仿宋" w:hAnsi="仿宋" w:eastAsia="仿宋" w:cs="仿宋"/>
          <w:color w:val="auto"/>
          <w:sz w:val="28"/>
          <w:szCs w:val="28"/>
          <w:shd w:val="clear" w:color="auto" w:fill="auto"/>
          <w:lang w:val="en-US" w:eastAsia="zh-CN"/>
        </w:rPr>
      </w:pPr>
      <w:r>
        <w:rPr>
          <w:rFonts w:hint="eastAsia" w:ascii="仿宋" w:hAnsi="仿宋" w:eastAsia="仿宋" w:cs="仿宋"/>
          <w:color w:val="auto"/>
          <w:sz w:val="28"/>
          <w:szCs w:val="28"/>
          <w:shd w:val="clear" w:color="auto" w:fill="auto"/>
          <w:lang w:val="en-US" w:eastAsia="zh-CN"/>
        </w:rPr>
        <w:t>本公司配备的手持喷洒装置是一种便携式喷洒装置，安装在手推车上，移动灵活、操作方便。</w:t>
      </w:r>
    </w:p>
    <w:p>
      <w:pPr>
        <w:widowControl w:val="0"/>
        <w:numPr>
          <w:ilvl w:val="0"/>
          <w:numId w:val="0"/>
        </w:numPr>
        <w:autoSpaceDE w:val="0"/>
        <w:autoSpaceDN w:val="0"/>
        <w:spacing w:before="0" w:after="0" w:line="360" w:lineRule="auto"/>
        <w:ind w:right="0" w:rightChars="0" w:firstLine="560" w:firstLineChars="200"/>
        <w:jc w:val="both"/>
        <w:rPr>
          <w:rFonts w:hint="eastAsia" w:ascii="仿宋" w:hAnsi="仿宋" w:eastAsia="仿宋" w:cs="仿宋"/>
          <w:i w:val="0"/>
          <w:caps w:val="0"/>
          <w:color w:val="auto"/>
          <w:spacing w:val="0"/>
          <w:sz w:val="28"/>
          <w:szCs w:val="28"/>
          <w:shd w:val="clear" w:color="auto" w:fill="auto"/>
        </w:rPr>
      </w:pPr>
      <w:r>
        <w:rPr>
          <w:rFonts w:hint="eastAsia" w:ascii="仿宋" w:hAnsi="仿宋" w:eastAsia="仿宋" w:cs="仿宋"/>
          <w:i w:val="0"/>
          <w:caps w:val="0"/>
          <w:color w:val="auto"/>
          <w:spacing w:val="0"/>
          <w:sz w:val="28"/>
          <w:szCs w:val="28"/>
          <w:shd w:val="clear" w:color="auto" w:fill="auto"/>
        </w:rPr>
        <w:t>设备由手持喷枪、泵站组成。喷枪与泵站通过高压软管快速接头连接。泵站由柴油机驱动柱塞高压泵，使消油剂产生高压，通过喷嘴将消油剂均匀喷洒到浮在水面上的溢油上，在风、浪、流的作用下，将溢油分散掉。</w:t>
      </w:r>
    </w:p>
    <w:p>
      <w:pPr>
        <w:widowControl w:val="0"/>
        <w:numPr>
          <w:ilvl w:val="0"/>
          <w:numId w:val="0"/>
        </w:numPr>
        <w:autoSpaceDE w:val="0"/>
        <w:autoSpaceDN w:val="0"/>
        <w:spacing w:before="0" w:after="0" w:line="360" w:lineRule="auto"/>
        <w:ind w:right="0" w:rightChars="0" w:firstLine="560" w:firstLineChars="200"/>
        <w:jc w:val="both"/>
        <w:rPr>
          <w:rFonts w:hint="eastAsia" w:ascii="仿宋" w:hAnsi="仿宋" w:eastAsia="仿宋" w:cs="仿宋"/>
          <w:i w:val="0"/>
          <w:caps w:val="0"/>
          <w:color w:val="auto"/>
          <w:spacing w:val="0"/>
          <w:sz w:val="28"/>
          <w:szCs w:val="28"/>
          <w:shd w:val="clear" w:color="auto" w:fill="auto"/>
          <w:lang w:val="en-US" w:eastAsia="zh-CN"/>
        </w:rPr>
      </w:pPr>
      <w:r>
        <w:rPr>
          <w:rFonts w:hint="eastAsia" w:ascii="仿宋" w:hAnsi="仿宋" w:eastAsia="仿宋" w:cs="仿宋"/>
          <w:i w:val="0"/>
          <w:caps w:val="0"/>
          <w:color w:val="auto"/>
          <w:spacing w:val="0"/>
          <w:sz w:val="28"/>
          <w:szCs w:val="28"/>
          <w:shd w:val="clear" w:color="auto" w:fill="auto"/>
          <w:lang w:val="en-US" w:eastAsia="zh-CN"/>
        </w:rPr>
        <w:t xml:space="preserve"> 手持喷洒适用于清除水面、码头、岸滩、礁石、室内等场内的小面积的溢油清除，也可用于清洗围油栏、收油机等设备。</w:t>
      </w:r>
    </w:p>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sz w:val="28"/>
          <w:szCs w:val="28"/>
        </w:rPr>
      </w:pPr>
      <w:bookmarkStart w:id="80" w:name="_Toc12870"/>
      <w:r>
        <w:rPr>
          <w:rFonts w:hint="eastAsia" w:ascii="仿宋" w:hAnsi="仿宋" w:eastAsia="仿宋" w:cs="仿宋"/>
          <w:sz w:val="28"/>
          <w:szCs w:val="28"/>
          <w:lang w:val="en-US" w:eastAsia="zh-CN"/>
        </w:rPr>
        <w:t>6</w:t>
      </w:r>
      <w:r>
        <w:rPr>
          <w:rFonts w:hint="eastAsia" w:ascii="仿宋" w:hAnsi="仿宋" w:eastAsia="仿宋" w:cs="仿宋"/>
          <w:sz w:val="28"/>
          <w:szCs w:val="28"/>
        </w:rPr>
        <w:t>.2.3</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吸油材料作业方案</w:t>
      </w:r>
      <w:bookmarkEnd w:id="80"/>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吸油材料作为一种补充手段用于控制和回收溢油，通常被用于吸附少量的油膜。主要通过两种形式，一种是利用吸油材料表面粘附溢油，另一种是通过吸油材料吸收溢油。</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一般在溢油清除行动的最后阶段使用吸油材料，以清除哪些清污设施无法进出地区的薄油膜。吸油材料同样可用于保护或清除某些环境敏感地区，如产卵区、沼泽地带，而这些地区采用其他清除方法如分散剂会带来损害。</w:t>
      </w:r>
    </w:p>
    <w:p>
      <w:pPr>
        <w:pStyle w:val="28"/>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sz w:val="28"/>
          <w:szCs w:val="28"/>
        </w:rPr>
      </w:pPr>
      <w:r>
        <w:rPr>
          <w:rFonts w:hint="eastAsia" w:ascii="仿宋" w:hAnsi="仿宋" w:eastAsia="仿宋" w:cs="仿宋"/>
          <w:sz w:val="28"/>
          <w:szCs w:val="28"/>
          <w:lang w:val="en-US" w:eastAsia="zh-CN"/>
        </w:rPr>
        <w:t>6</w:t>
      </w:r>
      <w:r>
        <w:rPr>
          <w:rFonts w:hint="eastAsia" w:ascii="仿宋" w:hAnsi="仿宋" w:eastAsia="仿宋" w:cs="仿宋"/>
          <w:sz w:val="28"/>
          <w:szCs w:val="28"/>
        </w:rPr>
        <w:t>.2.3.</w:t>
      </w:r>
      <w:r>
        <w:rPr>
          <w:rFonts w:hint="eastAsia" w:ascii="仿宋" w:hAnsi="仿宋" w:eastAsia="仿宋" w:cs="仿宋"/>
          <w:sz w:val="28"/>
          <w:szCs w:val="28"/>
          <w:lang w:val="en-US" w:eastAsia="zh-CN"/>
        </w:rPr>
        <w:t xml:space="preserve">1 </w:t>
      </w:r>
      <w:r>
        <w:rPr>
          <w:rFonts w:hint="eastAsia" w:ascii="仿宋" w:hAnsi="仿宋" w:eastAsia="仿宋" w:cs="仿宋"/>
          <w:sz w:val="28"/>
          <w:szCs w:val="28"/>
        </w:rPr>
        <w:t>本公司吸油材料的配备情况</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本公司配备了吸油拖栏、吸油毡和化学吸收剂，详见表</w:t>
      </w:r>
      <w:r>
        <w:rPr>
          <w:rFonts w:hint="eastAsia" w:ascii="仿宋" w:hAnsi="仿宋" w:eastAsia="仿宋" w:cs="仿宋"/>
          <w:sz w:val="28"/>
          <w:szCs w:val="28"/>
          <w:lang w:val="en-US" w:eastAsia="zh-CN"/>
        </w:rPr>
        <w:t>6</w:t>
      </w:r>
      <w:r>
        <w:rPr>
          <w:rFonts w:hint="eastAsia" w:ascii="仿宋" w:hAnsi="仿宋" w:eastAsia="仿宋" w:cs="仿宋"/>
          <w:sz w:val="28"/>
          <w:szCs w:val="28"/>
        </w:rPr>
        <w:t>-13。</w:t>
      </w:r>
    </w:p>
    <w:p>
      <w:pPr>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8"/>
          <w:szCs w:val="28"/>
        </w:rPr>
      </w:pPr>
    </w:p>
    <w:p>
      <w:pPr>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8"/>
          <w:szCs w:val="28"/>
        </w:rPr>
      </w:pPr>
    </w:p>
    <w:p>
      <w:pPr>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6</w:t>
      </w:r>
      <w:r>
        <w:rPr>
          <w:rFonts w:hint="eastAsia" w:ascii="仿宋" w:hAnsi="仿宋" w:eastAsia="仿宋" w:cs="仿宋"/>
          <w:b/>
          <w:sz w:val="28"/>
          <w:szCs w:val="28"/>
        </w:rPr>
        <w:t>-13 本公司吸油材料配备情况</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18"/>
        <w:gridCol w:w="1280"/>
        <w:gridCol w:w="1130"/>
        <w:gridCol w:w="967"/>
        <w:gridCol w:w="1335"/>
        <w:gridCol w:w="357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26"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序号</w:t>
            </w:r>
          </w:p>
        </w:tc>
        <w:tc>
          <w:tcPr>
            <w:tcW w:w="1294"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名称</w:t>
            </w:r>
          </w:p>
        </w:tc>
        <w:tc>
          <w:tcPr>
            <w:tcW w:w="1142"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型号</w:t>
            </w:r>
          </w:p>
        </w:tc>
        <w:tc>
          <w:tcPr>
            <w:tcW w:w="978"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数量</w:t>
            </w:r>
          </w:p>
        </w:tc>
        <w:tc>
          <w:tcPr>
            <w:tcW w:w="1350"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厂家名称</w:t>
            </w:r>
          </w:p>
        </w:tc>
        <w:tc>
          <w:tcPr>
            <w:tcW w:w="3614"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主要技术参数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26"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1</w:t>
            </w:r>
          </w:p>
        </w:tc>
        <w:tc>
          <w:tcPr>
            <w:tcW w:w="1294"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吸油拖栏</w:t>
            </w:r>
          </w:p>
        </w:tc>
        <w:tc>
          <w:tcPr>
            <w:tcW w:w="1142"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XTL-220</w:t>
            </w:r>
          </w:p>
        </w:tc>
        <w:tc>
          <w:tcPr>
            <w:tcW w:w="978"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lang w:val="en-US" w:eastAsia="zh-CN"/>
              </w:rPr>
              <w:t>1200</w:t>
            </w:r>
            <w:r>
              <w:rPr>
                <w:rFonts w:hint="eastAsia" w:ascii="仿宋" w:hAnsi="仿宋" w:eastAsia="仿宋" w:cs="仿宋"/>
                <w:sz w:val="24"/>
                <w:szCs w:val="24"/>
              </w:rPr>
              <w:t>米</w:t>
            </w:r>
          </w:p>
        </w:tc>
        <w:tc>
          <w:tcPr>
            <w:tcW w:w="1350"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青岛华海</w:t>
            </w:r>
          </w:p>
        </w:tc>
        <w:tc>
          <w:tcPr>
            <w:tcW w:w="3614" w:type="dxa"/>
            <w:tcBorders>
              <w:tl2br w:val="nil"/>
              <w:tr2bl w:val="nil"/>
            </w:tcBorders>
            <w:noWrap w:val="0"/>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吸油能力22kg/m,最大拖曳能力2kn。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26"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2</w:t>
            </w:r>
          </w:p>
        </w:tc>
        <w:tc>
          <w:tcPr>
            <w:tcW w:w="1294"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吸油毡</w:t>
            </w:r>
          </w:p>
        </w:tc>
        <w:tc>
          <w:tcPr>
            <w:tcW w:w="1142"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PP-5</w:t>
            </w:r>
          </w:p>
        </w:tc>
        <w:tc>
          <w:tcPr>
            <w:tcW w:w="978"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lang w:val="en-US" w:eastAsia="zh-CN"/>
              </w:rPr>
              <w:t>6</w:t>
            </w:r>
            <w:r>
              <w:rPr>
                <w:rFonts w:hint="eastAsia" w:ascii="仿宋" w:hAnsi="仿宋" w:eastAsia="仿宋" w:cs="仿宋"/>
                <w:sz w:val="24"/>
                <w:szCs w:val="24"/>
              </w:rPr>
              <w:t>吨</w:t>
            </w:r>
          </w:p>
        </w:tc>
        <w:tc>
          <w:tcPr>
            <w:tcW w:w="1350"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青岛华海</w:t>
            </w:r>
          </w:p>
        </w:tc>
        <w:tc>
          <w:tcPr>
            <w:tcW w:w="3614" w:type="dxa"/>
            <w:tcBorders>
              <w:tl2br w:val="nil"/>
              <w:tr2bl w:val="nil"/>
            </w:tcBorders>
            <w:noWrap w:val="0"/>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达到执行标准：JT-T560-2004</w:t>
            </w:r>
          </w:p>
        </w:tc>
      </w:tr>
    </w:tbl>
    <w:p>
      <w:pPr>
        <w:widowControl w:val="0"/>
        <w:numPr>
          <w:ilvl w:val="0"/>
          <w:numId w:val="0"/>
        </w:numPr>
        <w:autoSpaceDE w:val="0"/>
        <w:autoSpaceDN w:val="0"/>
        <w:spacing w:before="0" w:after="0" w:line="360" w:lineRule="auto"/>
        <w:ind w:right="0" w:rightChars="0" w:firstLine="560" w:firstLineChars="200"/>
        <w:jc w:val="both"/>
        <w:rPr>
          <w:rFonts w:hint="eastAsia" w:ascii="仿宋" w:hAnsi="仿宋" w:eastAsia="仿宋" w:cs="仿宋"/>
          <w:i w:val="0"/>
          <w:caps w:val="0"/>
          <w:color w:val="auto"/>
          <w:spacing w:val="0"/>
          <w:sz w:val="28"/>
          <w:szCs w:val="28"/>
          <w:shd w:val="clear" w:color="auto" w:fill="auto"/>
          <w:lang w:val="en-US" w:eastAsia="zh-CN"/>
        </w:rPr>
      </w:pPr>
    </w:p>
    <w:p>
      <w:pPr>
        <w:pStyle w:val="28"/>
        <w:keepLines w:val="0"/>
        <w:pageBreakBefore w:val="0"/>
        <w:widowControl/>
        <w:kinsoku/>
        <w:wordWrap/>
        <w:overflowPunct/>
        <w:topLinePunct w:val="0"/>
        <w:autoSpaceDE/>
        <w:autoSpaceDN/>
        <w:bidi w:val="0"/>
        <w:adjustRightInd/>
        <w:snapToGrid/>
        <w:spacing w:before="0" w:beforeLines="-2147483648" w:beforeAutospacing="0" w:after="0" w:afterLines="-2147483648" w:afterAutospacing="0" w:line="360" w:lineRule="auto"/>
        <w:ind w:left="0" w:right="0"/>
        <w:jc w:val="both"/>
        <w:textAlignment w:val="auto"/>
        <w:rPr>
          <w:rFonts w:hint="eastAsia" w:ascii="仿宋" w:hAnsi="仿宋" w:eastAsia="仿宋" w:cs="仿宋"/>
          <w:bCs/>
          <w:sz w:val="28"/>
          <w:szCs w:val="28"/>
          <w:lang w:val="en-US" w:bidi="ar-SA"/>
        </w:rPr>
      </w:pPr>
      <w:r>
        <w:rPr>
          <w:rFonts w:hint="eastAsia" w:ascii="仿宋" w:hAnsi="仿宋" w:eastAsia="仿宋" w:cs="仿宋"/>
          <w:color w:val="auto"/>
          <w:sz w:val="28"/>
          <w:szCs w:val="28"/>
          <w:lang w:val="en-US" w:eastAsia="zh-CN"/>
        </w:rPr>
        <w:t xml:space="preserve">     6</w:t>
      </w:r>
      <w:r>
        <w:rPr>
          <w:rFonts w:hint="eastAsia" w:ascii="仿宋" w:hAnsi="仿宋" w:eastAsia="仿宋" w:cs="仿宋"/>
          <w:bCs/>
          <w:sz w:val="28"/>
          <w:szCs w:val="28"/>
          <w:lang w:val="en-US" w:bidi="ar-SA"/>
        </w:rPr>
        <w:t>.2.</w:t>
      </w:r>
      <w:r>
        <w:rPr>
          <w:rFonts w:hint="eastAsia" w:ascii="仿宋" w:hAnsi="仿宋" w:eastAsia="仿宋" w:cs="仿宋"/>
          <w:bCs/>
          <w:sz w:val="28"/>
          <w:szCs w:val="28"/>
          <w:lang w:val="en-US" w:eastAsia="zh-CN" w:bidi="ar-SA"/>
        </w:rPr>
        <w:t>3</w:t>
      </w:r>
      <w:r>
        <w:rPr>
          <w:rFonts w:hint="eastAsia" w:ascii="仿宋" w:hAnsi="仿宋" w:eastAsia="仿宋" w:cs="仿宋"/>
          <w:bCs/>
          <w:sz w:val="28"/>
          <w:szCs w:val="28"/>
          <w:lang w:val="en-US" w:bidi="ar-SA"/>
        </w:rPr>
        <w:t>.</w:t>
      </w:r>
      <w:r>
        <w:rPr>
          <w:rFonts w:hint="eastAsia" w:ascii="仿宋" w:hAnsi="仿宋" w:eastAsia="仿宋" w:cs="仿宋"/>
          <w:bCs/>
          <w:sz w:val="28"/>
          <w:szCs w:val="28"/>
          <w:lang w:val="en-US" w:eastAsia="zh-CN" w:bidi="ar-SA"/>
        </w:rPr>
        <w:t xml:space="preserve">2 </w:t>
      </w:r>
      <w:r>
        <w:rPr>
          <w:rFonts w:hint="eastAsia" w:ascii="仿宋" w:hAnsi="仿宋" w:eastAsia="仿宋" w:cs="仿宋"/>
          <w:bCs/>
          <w:sz w:val="28"/>
          <w:szCs w:val="28"/>
          <w:lang w:val="en-US" w:bidi="ar-SA"/>
        </w:rPr>
        <w:t>吸油材料的类型</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吸附材料按其原料属性分为天然吸附材料与合成吸附材料。除了本公司配备的吸油材料外，在溢油应急过程中，可就地取材的天然吸附材料也是重要的应急物资。</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sz w:val="28"/>
          <w:szCs w:val="28"/>
          <w:lang w:val="en-US" w:bidi="ar-SA"/>
        </w:rPr>
      </w:pPr>
      <w:r>
        <w:rPr>
          <w:rFonts w:hint="eastAsia" w:ascii="仿宋" w:hAnsi="仿宋" w:eastAsia="仿宋" w:cs="仿宋"/>
          <w:b/>
          <w:sz w:val="28"/>
          <w:szCs w:val="28"/>
          <w:lang w:val="en-US" w:bidi="ar-SA"/>
        </w:rPr>
        <w:t>（1）天然吸附材料</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天然吸附材料主要有稻草、泥煤、锯末、鸡毛、玉米秸、碳灰块、树皮、珍珠岩、蛭石和火山岩等。这些材料容易得到且数量多，吸油能力较好，但有的也吸附水分并会沉入水中，回收起来比较困难。</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sz w:val="28"/>
          <w:szCs w:val="28"/>
          <w:lang w:val="en-US" w:bidi="ar-SA"/>
        </w:rPr>
      </w:pPr>
      <w:r>
        <w:rPr>
          <w:rFonts w:hint="eastAsia" w:ascii="仿宋" w:hAnsi="仿宋" w:eastAsia="仿宋" w:cs="仿宋"/>
          <w:b/>
          <w:sz w:val="28"/>
          <w:szCs w:val="28"/>
          <w:lang w:val="en-US" w:bidi="ar-SA"/>
        </w:rPr>
        <w:t>（2）合成吸附材料</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合成吸附材料主要包括聚氨酯、聚乙烯、聚丙烯、尼龙纤维和尿素甲醛泡沫等材料。合成吸附材料具有较高的亲油性和疏水性，吸油量是其自身重量的10-25倍，有些合成吸附材料可以重复使用3-5次。</w:t>
      </w:r>
    </w:p>
    <w:p>
      <w:pPr>
        <w:spacing w:line="360" w:lineRule="auto"/>
        <w:ind w:firstLine="560" w:firstLineChars="200"/>
        <w:jc w:val="both"/>
        <w:rPr>
          <w:rFonts w:hint="eastAsia" w:ascii="仿宋" w:hAnsi="仿宋" w:eastAsia="仿宋" w:cs="仿宋"/>
          <w:sz w:val="28"/>
          <w:szCs w:val="28"/>
          <w:lang w:val="en-US"/>
        </w:rPr>
      </w:pPr>
      <w:r>
        <w:rPr>
          <w:rFonts w:hint="eastAsia" w:ascii="仿宋" w:hAnsi="仿宋" w:eastAsia="仿宋" w:cs="仿宋"/>
          <w:sz w:val="28"/>
          <w:szCs w:val="28"/>
          <w:lang w:val="en-US"/>
        </w:rPr>
        <w:t>常用的合成吸附材料有多种形状，如带状、片状、毯子、垫状，松散的粒状，绑扎成枕头、围油栏形状的，集聚装置（开口网、有孔泡沫-高粘度油）等。根据使用习惯，合成吸附材料可分为吸油毡、吸油栏和吸油颗粒。</w:t>
      </w:r>
    </w:p>
    <w:p>
      <w:pPr>
        <w:spacing w:line="360" w:lineRule="auto"/>
        <w:ind w:firstLine="560" w:firstLineChars="200"/>
        <w:jc w:val="both"/>
        <w:rPr>
          <w:rFonts w:hint="eastAsia" w:ascii="仿宋" w:hAnsi="仿宋" w:eastAsia="仿宋" w:cs="仿宋"/>
          <w:sz w:val="28"/>
          <w:szCs w:val="28"/>
          <w:lang w:val="en-US"/>
        </w:rPr>
      </w:pPr>
      <w:r>
        <w:rPr>
          <w:rFonts w:hint="eastAsia" w:ascii="仿宋" w:hAnsi="仿宋" w:eastAsia="仿宋" w:cs="仿宋"/>
          <w:sz w:val="28"/>
          <w:szCs w:val="28"/>
          <w:lang w:val="en-US"/>
        </w:rPr>
        <w:t>通常有必要回收浸油材料，以防止加重溢油造成的不良影响。收油机会被吸油材料阻塞，所以使用吸附材料回收油时，人工回收常常是唯一的方法。</w:t>
      </w:r>
    </w:p>
    <w:p>
      <w:pPr>
        <w:spacing w:line="360" w:lineRule="auto"/>
        <w:ind w:firstLine="562" w:firstLineChars="200"/>
        <w:jc w:val="both"/>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6.2.3.3 吸油材料的使用</w:t>
      </w:r>
    </w:p>
    <w:p>
      <w:pPr>
        <w:spacing w:line="360" w:lineRule="auto"/>
        <w:ind w:firstLine="562" w:firstLineChars="200"/>
        <w:jc w:val="both"/>
        <w:rPr>
          <w:rFonts w:hint="eastAsia" w:ascii="仿宋" w:hAnsi="仿宋" w:eastAsia="仿宋" w:cs="仿宋"/>
          <w:sz w:val="28"/>
          <w:szCs w:val="28"/>
          <w:lang w:val="en-US"/>
        </w:rPr>
      </w:pPr>
      <w:r>
        <w:rPr>
          <w:rFonts w:hint="eastAsia" w:ascii="仿宋" w:hAnsi="仿宋" w:eastAsia="仿宋" w:cs="仿宋"/>
          <w:b/>
          <w:bCs/>
          <w:sz w:val="28"/>
          <w:szCs w:val="28"/>
          <w:lang w:val="en-US"/>
        </w:rPr>
        <w:t>（1）吸油毡</w:t>
      </w:r>
    </w:p>
    <w:p>
      <w:pPr>
        <w:spacing w:line="360" w:lineRule="auto"/>
        <w:ind w:firstLine="560" w:firstLineChars="200"/>
        <w:jc w:val="both"/>
        <w:rPr>
          <w:rFonts w:hint="eastAsia" w:ascii="仿宋" w:hAnsi="仿宋" w:eastAsia="仿宋" w:cs="仿宋"/>
          <w:sz w:val="28"/>
          <w:szCs w:val="28"/>
          <w:lang w:val="en-US"/>
        </w:rPr>
      </w:pPr>
      <w:r>
        <w:rPr>
          <w:rFonts w:hint="eastAsia" w:ascii="仿宋" w:hAnsi="仿宋" w:eastAsia="仿宋" w:cs="仿宋"/>
          <w:sz w:val="28"/>
          <w:szCs w:val="28"/>
          <w:lang w:val="en-US"/>
        </w:rPr>
        <w:t>吸油毡是最常见、也是最常用的合成吸附材料。吸油毡一般围在机械周围，吸收机械泄漏的油，也可以吸附水面溢油。</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如果选择较长的吸油毡（50 m）吸附油，应首先确定其断裂负荷。因为50 m长的吸油毡，吸满油后是重量增加很多，很难将其完好地回收起来。</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如果使用片状吸油材料，其回收困难，而且耗时。</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sz w:val="28"/>
          <w:szCs w:val="28"/>
          <w:lang w:val="en-US" w:bidi="ar-SA"/>
        </w:rPr>
      </w:pPr>
      <w:r>
        <w:rPr>
          <w:rFonts w:hint="eastAsia" w:ascii="仿宋" w:hAnsi="仿宋" w:eastAsia="仿宋" w:cs="仿宋"/>
          <w:b/>
          <w:sz w:val="28"/>
          <w:szCs w:val="28"/>
          <w:lang w:val="en-US" w:bidi="ar-SA"/>
        </w:rPr>
        <w:t>（2）吸油围栏</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吸油围栏是将吸油毡加工成直径一般为10～30 cm，每节长3～5 m，可以用具有相应强度的绳子制成上百米，甚至更长，两端有快速释放接头。吸油栏也可以做成宽30～40 cm的带状吸油栏。</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①</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用于排水口／取水口的吸油栏：一般长3-5 m，直径10-30 cm，这种吸油栏也可与其它围油栏连接，形成15～20 m长的吸油围油栏。但是，这种围油栏很难处理并易造成破损。</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②</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导向吸油栏：是附带吸油材料的长绳，类似缆绳，可以将其布放在流速大的水域回收较高粘度的油，对粘度较低的油只起导向作用。</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③</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围控吸油栏：浮子就是吸油材料，起着吸油作用，吸油材料的下面有裙体，可以起到溢油围控作用。</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吸油毡或吸油栏可以通过专用挤压设备将溢油从吸油毡或吸油栏中挤出来，挤压后能重复使用。</w:t>
      </w:r>
    </w:p>
    <w:p>
      <w:pPr>
        <w:keepLines w:val="0"/>
        <w:pageBreakBefore w:val="0"/>
        <w:widowControl/>
        <w:kinsoku/>
        <w:wordWrap/>
        <w:overflowPunct/>
        <w:topLinePunct w:val="0"/>
        <w:autoSpaceDE/>
        <w:autoSpaceDN/>
        <w:bidi w:val="0"/>
        <w:adjustRightInd/>
        <w:snapToGrid/>
        <w:spacing w:before="0" w:after="0" w:line="360" w:lineRule="auto"/>
        <w:ind w:left="0" w:right="0" w:firstLine="420" w:firstLineChars="150"/>
        <w:jc w:val="both"/>
        <w:textAlignment w:val="auto"/>
        <w:rPr>
          <w:rFonts w:hint="eastAsia" w:ascii="仿宋" w:hAnsi="仿宋" w:eastAsia="仿宋" w:cs="仿宋"/>
          <w:bCs/>
          <w:sz w:val="28"/>
          <w:szCs w:val="28"/>
          <w:lang w:val="en-US" w:bidi="ar-SA"/>
        </w:rPr>
      </w:pPr>
      <w:r>
        <w:rPr>
          <w:rFonts w:hint="eastAsia" w:ascii="仿宋" w:hAnsi="仿宋" w:eastAsia="仿宋" w:cs="仿宋"/>
          <w:bCs/>
          <w:sz w:val="28"/>
          <w:szCs w:val="28"/>
          <w:lang w:val="en-US" w:bidi="ar-SA"/>
        </w:rPr>
        <w:t>优点：</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能够吸附油层很薄的油膜</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回收油含水量较少</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轻便、容易操作</w:t>
      </w:r>
    </w:p>
    <w:p>
      <w:pPr>
        <w:keepLines w:val="0"/>
        <w:pageBreakBefore w:val="0"/>
        <w:widowControl/>
        <w:kinsoku/>
        <w:wordWrap/>
        <w:overflowPunct/>
        <w:topLinePunct w:val="0"/>
        <w:autoSpaceDE/>
        <w:autoSpaceDN/>
        <w:bidi w:val="0"/>
        <w:adjustRightInd/>
        <w:snapToGrid/>
        <w:spacing w:before="0" w:after="0" w:line="360" w:lineRule="auto"/>
        <w:ind w:left="0" w:right="0" w:firstLine="420" w:firstLineChars="150"/>
        <w:jc w:val="both"/>
        <w:textAlignment w:val="auto"/>
        <w:rPr>
          <w:rFonts w:hint="eastAsia" w:ascii="仿宋" w:hAnsi="仿宋" w:eastAsia="仿宋" w:cs="仿宋"/>
          <w:bCs/>
          <w:sz w:val="28"/>
          <w:szCs w:val="28"/>
          <w:lang w:val="en-US" w:bidi="ar-SA"/>
        </w:rPr>
      </w:pPr>
      <w:r>
        <w:rPr>
          <w:rFonts w:hint="eastAsia" w:ascii="仿宋" w:hAnsi="仿宋" w:eastAsia="仿宋" w:cs="仿宋"/>
          <w:bCs/>
          <w:sz w:val="28"/>
          <w:szCs w:val="28"/>
          <w:lang w:val="en-US" w:bidi="ar-SA"/>
        </w:rPr>
        <w:t>缺点：</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当浸油后，吸附材料很重，回收和运输困难</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回收片状材料困难</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自由漂浮的吸附材料可能影响收油机的工作</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sz w:val="28"/>
          <w:szCs w:val="28"/>
          <w:lang w:val="en-US" w:bidi="ar-SA"/>
        </w:rPr>
      </w:pPr>
      <w:r>
        <w:rPr>
          <w:rFonts w:hint="eastAsia" w:ascii="仿宋" w:hAnsi="仿宋" w:eastAsia="仿宋" w:cs="仿宋"/>
          <w:b/>
          <w:sz w:val="28"/>
          <w:szCs w:val="28"/>
          <w:lang w:val="en-US" w:bidi="ar-SA"/>
        </w:rPr>
        <w:t>（3）吸附颗粒</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吸附颗粒是松散型的，易撒到水面，但在风和流的影响下很难全部回收。有时使用孔径比吸附颗粒小的长网与吹风机一起使用，将吸附颗粒吹进网里，形成一个长而移动的吸油栏。</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在溢油应急行动中，天然吸附材料不便使用时，应考虑使用吸油毡或吸油栏。</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使用片状吸油毡回收收油机不能到达区域内的溢油和收油机不能回收的油膜，吸油毡吸附溢油后，再使用收油网回收吸油毡。</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使用吸油栏可以回收大面积的薄油层，也可以围控溢油。</w:t>
      </w:r>
    </w:p>
    <w:p>
      <w:pPr>
        <w:spacing w:line="360" w:lineRule="auto"/>
        <w:ind w:firstLine="560" w:firstLineChars="200"/>
        <w:jc w:val="both"/>
        <w:rPr>
          <w:rFonts w:hint="eastAsia" w:ascii="仿宋" w:hAnsi="仿宋" w:eastAsia="仿宋" w:cs="仿宋"/>
          <w:sz w:val="28"/>
          <w:szCs w:val="28"/>
          <w:lang w:val="en-US"/>
        </w:rPr>
      </w:pPr>
      <w:r>
        <w:rPr>
          <w:rFonts w:hint="eastAsia" w:ascii="仿宋" w:hAnsi="仿宋" w:eastAsia="仿宋" w:cs="仿宋"/>
          <w:sz w:val="28"/>
          <w:szCs w:val="28"/>
          <w:lang w:val="en-US"/>
        </w:rPr>
        <w:t>在开阔水域将吸油栏布放在围油栏的内侧，可以起到防浪作用，防止波浪造成溢油的逃逸，提高围油栏的围控效果。</w:t>
      </w:r>
    </w:p>
    <w:p>
      <w:pPr>
        <w:spacing w:line="360" w:lineRule="auto"/>
        <w:ind w:firstLine="560" w:firstLineChars="200"/>
        <w:jc w:val="both"/>
        <w:rPr>
          <w:rFonts w:hint="eastAsia" w:ascii="仿宋" w:hAnsi="仿宋" w:eastAsia="仿宋" w:cs="仿宋"/>
          <w:sz w:val="28"/>
          <w:szCs w:val="28"/>
          <w:lang w:val="en-US"/>
        </w:rPr>
      </w:pPr>
      <w:r>
        <w:rPr>
          <w:rFonts w:hint="eastAsia" w:ascii="仿宋" w:hAnsi="仿宋" w:eastAsia="仿宋" w:cs="仿宋"/>
          <w:sz w:val="28"/>
          <w:szCs w:val="28"/>
          <w:lang w:val="en-US"/>
        </w:rPr>
        <w:t>天然吸附材料与合成吸附材料的性能及其使用归纳为表</w:t>
      </w:r>
      <w:r>
        <w:rPr>
          <w:rFonts w:hint="eastAsia" w:ascii="仿宋" w:hAnsi="仿宋" w:eastAsia="仿宋" w:cs="仿宋"/>
          <w:sz w:val="28"/>
          <w:szCs w:val="28"/>
          <w:lang w:val="en-US" w:eastAsia="zh-CN"/>
        </w:rPr>
        <w:t>6</w:t>
      </w:r>
      <w:r>
        <w:rPr>
          <w:rFonts w:hint="eastAsia" w:ascii="仿宋" w:hAnsi="仿宋" w:eastAsia="仿宋" w:cs="仿宋"/>
          <w:sz w:val="28"/>
          <w:szCs w:val="28"/>
          <w:lang w:val="en-US"/>
        </w:rPr>
        <w:t>-14与表</w:t>
      </w:r>
      <w:r>
        <w:rPr>
          <w:rFonts w:hint="eastAsia" w:ascii="仿宋" w:hAnsi="仿宋" w:eastAsia="仿宋" w:cs="仿宋"/>
          <w:sz w:val="28"/>
          <w:szCs w:val="28"/>
          <w:lang w:val="en-US" w:eastAsia="zh-CN"/>
        </w:rPr>
        <w:t>6</w:t>
      </w:r>
      <w:r>
        <w:rPr>
          <w:rFonts w:hint="eastAsia" w:ascii="仿宋" w:hAnsi="仿宋" w:eastAsia="仿宋" w:cs="仿宋"/>
          <w:sz w:val="28"/>
          <w:szCs w:val="28"/>
          <w:lang w:val="en-US"/>
        </w:rPr>
        <w:t>-15。</w:t>
      </w:r>
    </w:p>
    <w:p>
      <w:pPr>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6</w:t>
      </w:r>
      <w:r>
        <w:rPr>
          <w:rFonts w:hint="eastAsia" w:ascii="仿宋" w:hAnsi="仿宋" w:eastAsia="仿宋" w:cs="仿宋"/>
          <w:b/>
          <w:sz w:val="28"/>
          <w:szCs w:val="28"/>
        </w:rPr>
        <w:t>-14 吸油材料的吸油能力对比表</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423"/>
        <w:gridCol w:w="2596"/>
        <w:gridCol w:w="2252"/>
        <w:gridCol w:w="173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tblHeader/>
          <w:jc w:val="center"/>
        </w:trPr>
        <w:tc>
          <w:tcPr>
            <w:tcW w:w="2499" w:type="dxa"/>
            <w:vMerge w:val="restart"/>
            <w:tcBorders>
              <w:tl2br w:val="nil"/>
              <w:tr2bl w:val="nil"/>
            </w:tcBorders>
            <w:noWrap w:val="0"/>
            <w:vAlign w:val="center"/>
          </w:tcPr>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吸油材料</w:t>
            </w:r>
          </w:p>
        </w:tc>
        <w:tc>
          <w:tcPr>
            <w:tcW w:w="5000" w:type="dxa"/>
            <w:gridSpan w:val="2"/>
            <w:tcBorders>
              <w:tl2br w:val="nil"/>
              <w:tr2bl w:val="nil"/>
            </w:tcBorders>
            <w:noWrap w:val="0"/>
            <w:vAlign w:val="center"/>
          </w:tcPr>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最大吸油能力（比率）</w:t>
            </w:r>
          </w:p>
        </w:tc>
        <w:tc>
          <w:tcPr>
            <w:tcW w:w="1787" w:type="dxa"/>
            <w:vMerge w:val="restart"/>
            <w:tcBorders>
              <w:tl2br w:val="nil"/>
              <w:tr2bl w:val="nil"/>
            </w:tcBorders>
            <w:noWrap w:val="0"/>
            <w:vAlign w:val="center"/>
          </w:tcPr>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吸油后是否</w:t>
            </w:r>
          </w:p>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浮于水面</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7" w:hRule="exact"/>
          <w:tblHeader/>
          <w:jc w:val="center"/>
        </w:trPr>
        <w:tc>
          <w:tcPr>
            <w:tcW w:w="2499" w:type="dxa"/>
            <w:vMerge w:val="continue"/>
            <w:tcBorders>
              <w:tl2br w:val="nil"/>
              <w:tr2bl w:val="nil"/>
            </w:tcBorders>
            <w:noWrap w:val="0"/>
            <w:vAlign w:val="top"/>
          </w:tcPr>
          <w:p>
            <w:pPr>
              <w:spacing w:line="240" w:lineRule="auto"/>
              <w:rPr>
                <w:rFonts w:hint="eastAsia" w:ascii="仿宋" w:hAnsi="仿宋" w:eastAsia="仿宋" w:cs="仿宋"/>
                <w:b/>
                <w:sz w:val="24"/>
                <w:szCs w:val="24"/>
              </w:rPr>
            </w:pPr>
          </w:p>
        </w:tc>
        <w:tc>
          <w:tcPr>
            <w:tcW w:w="2678" w:type="dxa"/>
            <w:tcBorders>
              <w:tl2br w:val="nil"/>
              <w:tr2bl w:val="nil"/>
            </w:tcBorders>
            <w:noWrap w:val="0"/>
            <w:vAlign w:val="center"/>
          </w:tcPr>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高粘度油</w:t>
            </w:r>
          </w:p>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（25℃时3000厘拖）</w:t>
            </w:r>
          </w:p>
        </w:tc>
        <w:tc>
          <w:tcPr>
            <w:tcW w:w="2322" w:type="dxa"/>
            <w:tcBorders>
              <w:tl2br w:val="nil"/>
              <w:tr2bl w:val="nil"/>
            </w:tcBorders>
            <w:noWrap w:val="0"/>
            <w:vAlign w:val="center"/>
          </w:tcPr>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低粘度油</w:t>
            </w:r>
          </w:p>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（25℃时5厘拖）</w:t>
            </w:r>
          </w:p>
        </w:tc>
        <w:tc>
          <w:tcPr>
            <w:tcW w:w="1787" w:type="dxa"/>
            <w:vMerge w:val="continue"/>
            <w:tcBorders>
              <w:tl2br w:val="nil"/>
              <w:tr2bl w:val="nil"/>
            </w:tcBorders>
            <w:noWrap w:val="0"/>
            <w:vAlign w:val="center"/>
          </w:tcPr>
          <w:p>
            <w:pPr>
              <w:spacing w:line="240" w:lineRule="auto"/>
              <w:jc w:val="center"/>
              <w:rPr>
                <w:rFonts w:hint="eastAsia" w:ascii="仿宋" w:hAnsi="仿宋" w:eastAsia="仿宋" w:cs="仿宋"/>
                <w:b/>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蛭石</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4</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3</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火山灰</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20</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玉米秸</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5</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花生壳</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5</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红木皮</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12</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稻草</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泥煤</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4</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7</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聚氨酯泡沫</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70</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60</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尿素甲醛泡沫</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60</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50</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聚乙烯纤维</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35</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30</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聚丙烯纤维</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20</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7</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聚苯乙烯粉</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20</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20</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bl>
    <w:p>
      <w:pPr>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6</w:t>
      </w:r>
      <w:r>
        <w:rPr>
          <w:rFonts w:hint="eastAsia" w:ascii="仿宋" w:hAnsi="仿宋" w:eastAsia="仿宋" w:cs="仿宋"/>
          <w:b/>
          <w:sz w:val="28"/>
          <w:szCs w:val="28"/>
        </w:rPr>
        <w:t>-15 合成吸油材料的应用技术</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227"/>
        <w:gridCol w:w="678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18" w:type="dxa"/>
            <w:tcBorders>
              <w:tl2br w:val="nil"/>
              <w:tr2bl w:val="nil"/>
            </w:tcBorders>
            <w:noWrap w:val="0"/>
            <w:vAlign w:val="center"/>
          </w:tcPr>
          <w:p>
            <w:pPr>
              <w:spacing w:line="240" w:lineRule="auto"/>
              <w:ind w:firstLine="39" w:firstLineChars="16"/>
              <w:jc w:val="center"/>
              <w:rPr>
                <w:rFonts w:hint="eastAsia" w:ascii="仿宋" w:hAnsi="仿宋" w:eastAsia="仿宋" w:cs="仿宋"/>
                <w:b/>
                <w:sz w:val="24"/>
                <w:szCs w:val="24"/>
              </w:rPr>
            </w:pPr>
            <w:r>
              <w:rPr>
                <w:rFonts w:hint="eastAsia" w:ascii="仿宋" w:hAnsi="仿宋" w:eastAsia="仿宋" w:cs="仿宋"/>
                <w:b/>
                <w:sz w:val="24"/>
                <w:szCs w:val="24"/>
              </w:rPr>
              <w:t>吸油材料形式</w:t>
            </w:r>
          </w:p>
        </w:tc>
        <w:tc>
          <w:tcPr>
            <w:tcW w:w="7076" w:type="dxa"/>
            <w:tcBorders>
              <w:tl2br w:val="nil"/>
              <w:tr2bl w:val="nil"/>
            </w:tcBorders>
            <w:noWrap w:val="0"/>
            <w:vAlign w:val="center"/>
          </w:tcPr>
          <w:p>
            <w:pPr>
              <w:spacing w:line="240" w:lineRule="auto"/>
              <w:ind w:firstLine="39" w:firstLineChars="16"/>
              <w:jc w:val="center"/>
              <w:rPr>
                <w:rFonts w:hint="eastAsia" w:ascii="仿宋" w:hAnsi="仿宋" w:eastAsia="仿宋" w:cs="仿宋"/>
                <w:b/>
                <w:sz w:val="24"/>
                <w:szCs w:val="24"/>
              </w:rPr>
            </w:pPr>
            <w:r>
              <w:rPr>
                <w:rFonts w:hint="eastAsia" w:ascii="仿宋" w:hAnsi="仿宋" w:eastAsia="仿宋" w:cs="仿宋"/>
                <w:b/>
                <w:sz w:val="24"/>
                <w:szCs w:val="24"/>
              </w:rPr>
              <w:t>技术应用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18"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1.方型和条型（片状）</w:t>
            </w:r>
          </w:p>
        </w:tc>
        <w:tc>
          <w:tcPr>
            <w:tcW w:w="707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用于吸附控制区域的少量溢油；</w:t>
            </w:r>
          </w:p>
          <w:p>
            <w:pPr>
              <w:spacing w:line="240" w:lineRule="auto"/>
              <w:rPr>
                <w:rFonts w:hint="eastAsia" w:ascii="仿宋" w:hAnsi="仿宋" w:eastAsia="仿宋" w:cs="仿宋"/>
                <w:sz w:val="24"/>
                <w:szCs w:val="24"/>
              </w:rPr>
            </w:pPr>
            <w:r>
              <w:rPr>
                <w:rFonts w:hint="eastAsia" w:ascii="仿宋" w:hAnsi="仿宋" w:eastAsia="仿宋" w:cs="仿宋"/>
                <w:sz w:val="24"/>
                <w:szCs w:val="24"/>
              </w:rPr>
              <w:t>为了充分吸附溢油需要将吸油材料在溢油中多停留一段时间。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18"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2.圆滚状</w:t>
            </w:r>
          </w:p>
        </w:tc>
        <w:tc>
          <w:tcPr>
            <w:tcW w:w="707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与方型和条型的使用方法相同，但操作更加容易，</w:t>
            </w:r>
          </w:p>
          <w:p>
            <w:pPr>
              <w:spacing w:line="240" w:lineRule="auto"/>
              <w:rPr>
                <w:rFonts w:hint="eastAsia" w:ascii="仿宋" w:hAnsi="仿宋" w:eastAsia="仿宋" w:cs="仿宋"/>
                <w:sz w:val="24"/>
                <w:szCs w:val="24"/>
              </w:rPr>
            </w:pPr>
            <w:r>
              <w:rPr>
                <w:rFonts w:hint="eastAsia" w:ascii="仿宋" w:hAnsi="仿宋" w:eastAsia="仿宋" w:cs="仿宋"/>
                <w:sz w:val="24"/>
                <w:szCs w:val="24"/>
              </w:rPr>
              <w:t>可以切割成任意长度的一段；</w:t>
            </w:r>
          </w:p>
          <w:p>
            <w:pPr>
              <w:spacing w:line="240" w:lineRule="auto"/>
              <w:rPr>
                <w:rFonts w:hint="eastAsia" w:ascii="仿宋" w:hAnsi="仿宋" w:eastAsia="仿宋" w:cs="仿宋"/>
                <w:sz w:val="24"/>
                <w:szCs w:val="24"/>
              </w:rPr>
            </w:pPr>
            <w:r>
              <w:rPr>
                <w:rFonts w:hint="eastAsia" w:ascii="仿宋" w:hAnsi="仿宋" w:eastAsia="仿宋" w:cs="仿宋"/>
                <w:sz w:val="24"/>
                <w:szCs w:val="24"/>
              </w:rPr>
              <w:t>使用其保护人行道路、船舶甲板、工作场所、围控</w:t>
            </w:r>
          </w:p>
          <w:p>
            <w:pPr>
              <w:spacing w:line="240" w:lineRule="auto"/>
              <w:rPr>
                <w:rFonts w:hint="eastAsia" w:ascii="仿宋" w:hAnsi="仿宋" w:eastAsia="仿宋" w:cs="仿宋"/>
                <w:sz w:val="24"/>
                <w:szCs w:val="24"/>
              </w:rPr>
            </w:pPr>
            <w:r>
              <w:rPr>
                <w:rFonts w:hint="eastAsia" w:ascii="仿宋" w:hAnsi="仿宋" w:eastAsia="仿宋" w:cs="仿宋"/>
                <w:sz w:val="24"/>
                <w:szCs w:val="24"/>
              </w:rPr>
              <w:t>临时储油场所等；</w:t>
            </w:r>
          </w:p>
          <w:p>
            <w:pPr>
              <w:spacing w:line="240" w:lineRule="auto"/>
              <w:rPr>
                <w:rFonts w:hint="eastAsia" w:ascii="仿宋" w:hAnsi="仿宋" w:eastAsia="仿宋" w:cs="仿宋"/>
                <w:sz w:val="24"/>
                <w:szCs w:val="24"/>
              </w:rPr>
            </w:pPr>
            <w:r>
              <w:rPr>
                <w:rFonts w:hint="eastAsia" w:ascii="仿宋" w:hAnsi="仿宋" w:eastAsia="仿宋" w:cs="仿宋"/>
                <w:sz w:val="24"/>
                <w:szCs w:val="24"/>
              </w:rPr>
              <w:t>布放和回收操作方便。</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18"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3.吸油栏</w:t>
            </w:r>
          </w:p>
        </w:tc>
        <w:tc>
          <w:tcPr>
            <w:tcW w:w="707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在平静水域起到吸油和围控溢油的双重作用；将吸油材料压缩装进网内，限制了溢油的穿透能力，要求吸油栏可以在溢油中滚动使用，也可以使用吸油栏向围油栏内驱赶溢油。可以用来保护遮蔽水域，还可以布放在围油栏的后面吸附逃逸的溢油：可以装在袋子里运输。</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18"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4.松散材料</w:t>
            </w:r>
          </w:p>
        </w:tc>
        <w:tc>
          <w:tcPr>
            <w:tcW w:w="707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在处理开阔水域溢油事故时，不建议使用这种材料。</w:t>
            </w:r>
          </w:p>
          <w:p>
            <w:pPr>
              <w:spacing w:line="240" w:lineRule="auto"/>
              <w:rPr>
                <w:rFonts w:hint="eastAsia" w:ascii="仿宋" w:hAnsi="仿宋" w:eastAsia="仿宋" w:cs="仿宋"/>
                <w:sz w:val="24"/>
                <w:szCs w:val="24"/>
              </w:rPr>
            </w:pPr>
            <w:r>
              <w:rPr>
                <w:rFonts w:hint="eastAsia" w:ascii="仿宋" w:hAnsi="仿宋" w:eastAsia="仿宋" w:cs="仿宋"/>
                <w:sz w:val="24"/>
                <w:szCs w:val="24"/>
              </w:rPr>
              <w:t>可以用来处理岸滩上或难以进入区域的溢油。</w:t>
            </w:r>
          </w:p>
        </w:tc>
      </w:tr>
    </w:tbl>
    <w:p>
      <w:pPr>
        <w:spacing w:line="360" w:lineRule="auto"/>
        <w:ind w:firstLine="560" w:firstLineChars="200"/>
        <w:jc w:val="both"/>
        <w:rPr>
          <w:rFonts w:hint="eastAsia" w:ascii="仿宋" w:hAnsi="仿宋" w:eastAsia="仿宋" w:cs="仿宋"/>
          <w:sz w:val="28"/>
          <w:szCs w:val="28"/>
          <w:lang w:val="en-US"/>
        </w:rPr>
      </w:pPr>
    </w:p>
    <w:p>
      <w:pPr>
        <w:pStyle w:val="28"/>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sz w:val="28"/>
          <w:szCs w:val="28"/>
        </w:rPr>
      </w:pPr>
      <w:r>
        <w:rPr>
          <w:rFonts w:hint="eastAsia" w:ascii="仿宋" w:hAnsi="仿宋" w:eastAsia="仿宋" w:cs="仿宋"/>
          <w:sz w:val="28"/>
          <w:szCs w:val="28"/>
          <w:lang w:val="en-US" w:eastAsia="zh-CN"/>
        </w:rPr>
        <w:t>6</w:t>
      </w:r>
      <w:r>
        <w:rPr>
          <w:rFonts w:hint="eastAsia" w:ascii="仿宋" w:hAnsi="仿宋" w:eastAsia="仿宋" w:cs="仿宋"/>
          <w:sz w:val="28"/>
          <w:szCs w:val="28"/>
        </w:rPr>
        <w:t>.2.</w:t>
      </w:r>
      <w:r>
        <w:rPr>
          <w:rFonts w:hint="eastAsia" w:ascii="仿宋" w:hAnsi="仿宋" w:eastAsia="仿宋" w:cs="仿宋"/>
          <w:sz w:val="28"/>
          <w:szCs w:val="28"/>
          <w:lang w:val="en-US" w:eastAsia="zh-CN"/>
        </w:rPr>
        <w:t>3</w:t>
      </w:r>
      <w:r>
        <w:rPr>
          <w:rFonts w:hint="eastAsia" w:ascii="仿宋" w:hAnsi="仿宋" w:eastAsia="仿宋" w:cs="仿宋"/>
          <w:sz w:val="28"/>
          <w:szCs w:val="28"/>
        </w:rPr>
        <w:t>.</w:t>
      </w:r>
      <w:r>
        <w:rPr>
          <w:rFonts w:hint="eastAsia" w:ascii="仿宋" w:hAnsi="仿宋" w:eastAsia="仿宋" w:cs="仿宋"/>
          <w:sz w:val="28"/>
          <w:szCs w:val="28"/>
          <w:lang w:val="en-US" w:eastAsia="zh-CN"/>
        </w:rPr>
        <w:t xml:space="preserve">4 </w:t>
      </w:r>
      <w:r>
        <w:rPr>
          <w:rFonts w:hint="eastAsia" w:ascii="仿宋" w:hAnsi="仿宋" w:eastAsia="仿宋" w:cs="仿宋"/>
          <w:sz w:val="28"/>
          <w:szCs w:val="28"/>
        </w:rPr>
        <w:t>吸油材料使用的注意事项</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（1）吸油材料在浸满的情况下必须能漂浮在水面数天或数周，否则无法回收。</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（2）如果回收较为困难，在使用吸油片之前，要经过政府有关部门批准。</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（3）通常选择使用吸油材料时应考虑吸附油后的废弃物处置计划。</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（4）使用时常采用人工作业方式，如果大量使用松散的吸油材料，则要借助于鼓风机。</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（5）力争回收所有的吸附油的吸油材料，以使单纯因溢油造成的后果不致更为严重。</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（6）在风大的海域单片吸油片因重量较轻，不能停留在油的表面，两片或三片重叠在一起效果可能更好。</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（7）如果油膜变得越来越薄，吸油材料的回收效率会越来越低，需要有围油栏将油围住以保持油膜厚度。</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（8）当决定使用吸油材料时，要确保回收处置设备能够使用，处理效果能够达到有关主管机关的规定。</w:t>
      </w:r>
    </w:p>
    <w:p>
      <w:pPr>
        <w:spacing w:line="360" w:lineRule="auto"/>
        <w:jc w:val="both"/>
        <w:rPr>
          <w:rFonts w:hint="eastAsia" w:ascii="仿宋" w:hAnsi="仿宋" w:eastAsia="仿宋" w:cs="仿宋"/>
          <w:sz w:val="28"/>
          <w:szCs w:val="28"/>
        </w:rPr>
      </w:pPr>
    </w:p>
    <w:p>
      <w:pPr>
        <w:spacing w:line="360" w:lineRule="auto"/>
        <w:ind w:firstLine="562" w:firstLineChars="200"/>
        <w:jc w:val="both"/>
        <w:outlineLvl w:val="0"/>
        <w:rPr>
          <w:rFonts w:hint="eastAsia" w:ascii="仿宋" w:hAnsi="仿宋" w:eastAsia="仿宋" w:cs="仿宋"/>
          <w:b/>
          <w:bCs/>
          <w:sz w:val="28"/>
          <w:szCs w:val="28"/>
          <w:lang w:val="en-US" w:eastAsia="zh-CN"/>
        </w:rPr>
      </w:pPr>
      <w:bookmarkStart w:id="81" w:name="_Toc13339"/>
      <w:bookmarkStart w:id="82" w:name="_Toc24559"/>
      <w:bookmarkStart w:id="83" w:name="_Toc3775"/>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rPr>
      </w:pP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岸线清污方案</w:t>
      </w:r>
      <w:bookmarkEnd w:id="81"/>
      <w:bookmarkEnd w:id="82"/>
      <w:bookmarkEnd w:id="83"/>
    </w:p>
    <w:p>
      <w:pPr>
        <w:spacing w:line="360" w:lineRule="auto"/>
        <w:ind w:firstLine="562" w:firstLineChars="200"/>
        <w:jc w:val="both"/>
        <w:outlineLvl w:val="1"/>
        <w:rPr>
          <w:rFonts w:hint="eastAsia" w:ascii="仿宋" w:hAnsi="仿宋" w:eastAsia="仿宋" w:cs="仿宋"/>
          <w:b/>
          <w:bCs/>
          <w:sz w:val="28"/>
          <w:szCs w:val="28"/>
        </w:rPr>
      </w:pPr>
      <w:bookmarkStart w:id="84" w:name="_Toc6836"/>
      <w:bookmarkStart w:id="85" w:name="_Toc24119"/>
      <w:bookmarkStart w:id="86" w:name="_Toc15818"/>
      <w:r>
        <w:rPr>
          <w:rFonts w:hint="eastAsia" w:ascii="仿宋" w:hAnsi="仿宋" w:eastAsia="仿宋" w:cs="仿宋"/>
          <w:b/>
          <w:bCs/>
          <w:sz w:val="28"/>
          <w:szCs w:val="28"/>
          <w:lang w:val="en-US" w:eastAsia="zh-CN"/>
        </w:rPr>
        <w:t>7</w:t>
      </w:r>
      <w:r>
        <w:rPr>
          <w:rFonts w:hint="eastAsia" w:ascii="仿宋" w:hAnsi="仿宋" w:eastAsia="仿宋" w:cs="仿宋"/>
          <w:b/>
          <w:bCs/>
          <w:sz w:val="28"/>
          <w:szCs w:val="28"/>
        </w:rPr>
        <w:t>.</w:t>
      </w:r>
      <w:r>
        <w:rPr>
          <w:rFonts w:hint="eastAsia" w:ascii="仿宋" w:hAnsi="仿宋" w:eastAsia="仿宋" w:cs="仿宋"/>
          <w:b/>
          <w:bCs/>
          <w:sz w:val="28"/>
          <w:szCs w:val="28"/>
          <w:lang w:val="en-US" w:eastAsia="zh-CN"/>
        </w:rPr>
        <w:t xml:space="preserve">1 </w:t>
      </w:r>
      <w:r>
        <w:rPr>
          <w:rFonts w:hint="eastAsia" w:ascii="仿宋" w:hAnsi="仿宋" w:eastAsia="仿宋" w:cs="仿宋"/>
          <w:b/>
          <w:bCs/>
          <w:sz w:val="28"/>
          <w:szCs w:val="28"/>
        </w:rPr>
        <w:t>油在不同类型海岸线的状态及影响</w:t>
      </w:r>
      <w:bookmarkEnd w:id="84"/>
      <w:bookmarkEnd w:id="85"/>
      <w:bookmarkEnd w:id="86"/>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油在不同类型海岸线的状态见表</w:t>
      </w:r>
      <w:r>
        <w:rPr>
          <w:rFonts w:hint="eastAsia" w:ascii="仿宋" w:hAnsi="仿宋" w:eastAsia="仿宋" w:cs="仿宋"/>
          <w:sz w:val="28"/>
          <w:szCs w:val="28"/>
          <w:lang w:val="en-US" w:eastAsia="zh-CN"/>
        </w:rPr>
        <w:t>7</w:t>
      </w:r>
      <w:r>
        <w:rPr>
          <w:rFonts w:hint="eastAsia" w:ascii="仿宋" w:hAnsi="仿宋" w:eastAsia="仿宋" w:cs="仿宋"/>
          <w:sz w:val="28"/>
          <w:szCs w:val="28"/>
        </w:rPr>
        <w:t>-1。</w:t>
      </w:r>
    </w:p>
    <w:p>
      <w:pPr>
        <w:spacing w:line="240" w:lineRule="auto"/>
        <w:jc w:val="center"/>
        <w:rPr>
          <w:rFonts w:hint="eastAsia" w:ascii="仿宋" w:hAnsi="仿宋" w:eastAsia="仿宋" w:cs="仿宋"/>
          <w:b/>
          <w:bCs/>
          <w:sz w:val="28"/>
          <w:szCs w:val="28"/>
        </w:rPr>
      </w:pPr>
      <w:r>
        <w:rPr>
          <w:rFonts w:hint="eastAsia" w:ascii="仿宋" w:hAnsi="仿宋" w:eastAsia="仿宋" w:cs="仿宋"/>
          <w:b/>
          <w:bCs/>
          <w:sz w:val="28"/>
          <w:szCs w:val="28"/>
        </w:rPr>
        <w:t>表</w:t>
      </w: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-1 油在不同类型海岸线的状态</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28"/>
        <w:gridCol w:w="1579"/>
        <w:gridCol w:w="609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328"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sz w:val="24"/>
                <w:szCs w:val="24"/>
              </w:rPr>
            </w:pPr>
            <w:r>
              <w:rPr>
                <w:rFonts w:hint="eastAsia" w:ascii="仿宋" w:hAnsi="仿宋" w:eastAsia="仿宋" w:cs="仿宋"/>
                <w:b/>
                <w:sz w:val="24"/>
                <w:szCs w:val="24"/>
              </w:rPr>
              <w:t>岸线类型</w:t>
            </w:r>
          </w:p>
        </w:tc>
        <w:tc>
          <w:tcPr>
            <w:tcW w:w="157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sz w:val="24"/>
                <w:szCs w:val="24"/>
              </w:rPr>
            </w:pPr>
            <w:r>
              <w:rPr>
                <w:rFonts w:hint="eastAsia" w:ascii="仿宋" w:hAnsi="仿宋" w:eastAsia="仿宋" w:cs="仿宋"/>
                <w:b/>
                <w:sz w:val="24"/>
                <w:szCs w:val="24"/>
              </w:rPr>
              <w:t>砂石粒度范围</w:t>
            </w:r>
          </w:p>
        </w:tc>
        <w:tc>
          <w:tcPr>
            <w:tcW w:w="609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sz w:val="24"/>
                <w:szCs w:val="24"/>
              </w:rPr>
            </w:pPr>
            <w:r>
              <w:rPr>
                <w:rFonts w:hint="eastAsia" w:ascii="仿宋" w:hAnsi="仿宋" w:eastAsia="仿宋" w:cs="仿宋"/>
                <w:b/>
                <w:sz w:val="24"/>
                <w:szCs w:val="24"/>
              </w:rPr>
              <w:t>说明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28"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岩石、砾石、人工结构物</w:t>
            </w:r>
          </w:p>
        </w:tc>
        <w:tc>
          <w:tcPr>
            <w:tcW w:w="157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&gt;250mm</w:t>
            </w:r>
          </w:p>
        </w:tc>
        <w:tc>
          <w:tcPr>
            <w:tcW w:w="609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sz w:val="24"/>
                <w:szCs w:val="24"/>
              </w:rPr>
            </w:pPr>
            <w:r>
              <w:rPr>
                <w:rFonts w:hint="eastAsia" w:ascii="仿宋" w:hAnsi="仿宋" w:eastAsia="仿宋" w:cs="仿宋"/>
                <w:sz w:val="24"/>
                <w:szCs w:val="24"/>
              </w:rPr>
              <w:t>油往往被反射的波浪从露头的岩石和悬崖处冲走，但也可能被抛掷到粗糙或多孔的岩石表面聚集起来。在潮汐冲刷地区，油集于岩石潭中，也可能附在潮汐区岩石的表面。</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28"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鹅卵石、卵石、扁卵石</w:t>
            </w:r>
          </w:p>
        </w:tc>
        <w:tc>
          <w:tcPr>
            <w:tcW w:w="157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2～250mm</w:t>
            </w:r>
          </w:p>
        </w:tc>
        <w:tc>
          <w:tcPr>
            <w:tcW w:w="609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sz w:val="24"/>
                <w:szCs w:val="24"/>
              </w:rPr>
            </w:pPr>
            <w:r>
              <w:rPr>
                <w:rFonts w:hint="eastAsia" w:ascii="仿宋" w:hAnsi="仿宋" w:eastAsia="仿宋" w:cs="仿宋"/>
                <w:sz w:val="24"/>
                <w:szCs w:val="24"/>
              </w:rPr>
              <w:t>油的渗透性随石块的尺度增大而增加。在强浪冲激区，岸面石块由于冲蚀会很快干净，而渗入沙石里的油会存留。低粘度油随自然界水的运动被冲出沙石。</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28"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沙</w:t>
            </w:r>
          </w:p>
        </w:tc>
        <w:tc>
          <w:tcPr>
            <w:tcW w:w="157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0.1～2mm</w:t>
            </w:r>
          </w:p>
        </w:tc>
        <w:tc>
          <w:tcPr>
            <w:tcW w:w="609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sz w:val="24"/>
                <w:szCs w:val="24"/>
              </w:rPr>
            </w:pPr>
            <w:r>
              <w:rPr>
                <w:rFonts w:hint="eastAsia" w:ascii="仿宋" w:hAnsi="仿宋" w:eastAsia="仿宋" w:cs="仿宋"/>
                <w:sz w:val="24"/>
                <w:szCs w:val="24"/>
              </w:rPr>
              <w:t>油在沙滩上的渗透性取决于沙粒大小、地下水深度及排水性能。粗沙粒海滩往往是陡峭的斜坡，在低水位时枯干，使低粘度油的渗透程度显著。细粒沙滩由于潮水的周期作用总是湿而平坦，因此只会渗透少量的油。但在风暴期间，油可能被埋入沙滩。</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28"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泥地（泥滩、湿地）</w:t>
            </w:r>
          </w:p>
        </w:tc>
        <w:tc>
          <w:tcPr>
            <w:tcW w:w="157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&lt;0.1mm</w:t>
            </w:r>
          </w:p>
        </w:tc>
        <w:tc>
          <w:tcPr>
            <w:tcW w:w="609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sz w:val="24"/>
                <w:szCs w:val="24"/>
              </w:rPr>
            </w:pPr>
            <w:r>
              <w:rPr>
                <w:rFonts w:hint="eastAsia" w:ascii="仿宋" w:hAnsi="仿宋" w:eastAsia="仿宋" w:cs="仿宋"/>
                <w:sz w:val="24"/>
                <w:szCs w:val="24"/>
              </w:rPr>
              <w:t>泥地具有低能环境的特征，且被水浸泡，所以油很少渗入泥地而长期停留在泥地表面。如果溢油与风暴同时发生，则油能与沉积物相混并长期存在下去。泥地上动物的洞穴和植须的根须可能造成油的渗透。</w:t>
            </w:r>
          </w:p>
          <w:p>
            <w:pPr>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sz w:val="24"/>
                <w:szCs w:val="24"/>
              </w:rPr>
            </w:pPr>
          </w:p>
        </w:tc>
      </w:tr>
    </w:tbl>
    <w:p>
      <w:pPr>
        <w:rPr>
          <w:rFonts w:hint="eastAsia"/>
          <w:sz w:val="24"/>
          <w:szCs w:val="24"/>
        </w:rPr>
      </w:pPr>
    </w:p>
    <w:p>
      <w:pPr>
        <w:rPr>
          <w:rFonts w:hint="eastAsia"/>
          <w:sz w:val="24"/>
          <w:szCs w:val="24"/>
        </w:rPr>
      </w:pPr>
    </w:p>
    <w:p>
      <w:pPr>
        <w:spacing w:line="360" w:lineRule="auto"/>
        <w:ind w:firstLine="562" w:firstLineChars="200"/>
        <w:jc w:val="both"/>
        <w:outlineLvl w:val="1"/>
        <w:rPr>
          <w:rFonts w:hint="eastAsia" w:ascii="仿宋" w:hAnsi="仿宋" w:eastAsia="仿宋" w:cs="仿宋"/>
          <w:b/>
          <w:bCs/>
          <w:sz w:val="28"/>
          <w:szCs w:val="28"/>
        </w:rPr>
      </w:pPr>
      <w:bookmarkStart w:id="87" w:name="_Toc32172"/>
      <w:r>
        <w:rPr>
          <w:rFonts w:hint="eastAsia" w:ascii="仿宋" w:hAnsi="仿宋" w:eastAsia="仿宋" w:cs="仿宋"/>
          <w:b/>
          <w:bCs/>
          <w:sz w:val="28"/>
          <w:szCs w:val="28"/>
          <w:lang w:val="en-US" w:eastAsia="zh-CN"/>
        </w:rPr>
        <w:t>7</w:t>
      </w:r>
      <w:r>
        <w:rPr>
          <w:rFonts w:hint="eastAsia" w:ascii="仿宋" w:hAnsi="仿宋" w:eastAsia="仿宋" w:cs="仿宋"/>
          <w:b/>
          <w:bCs/>
          <w:sz w:val="28"/>
          <w:szCs w:val="28"/>
        </w:rPr>
        <w:t>.2</w:t>
      </w: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rPr>
        <w:t>岸线的物理清除方法</w:t>
      </w:r>
      <w:bookmarkEnd w:id="87"/>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.2.1</w:t>
      </w: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rPr>
        <w:t>岸线溢油清除步骤</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岸线清除分三个阶段进行：清除大片溢油、清除沙滩溢油和最后清洁。</w:t>
      </w:r>
    </w:p>
    <w:p>
      <w:pPr>
        <w:keepLines w:val="0"/>
        <w:pageBreakBefore w:val="0"/>
        <w:widowControl/>
        <w:numPr>
          <w:ilvl w:val="0"/>
          <w:numId w:val="0"/>
        </w:numPr>
        <w:kinsoku/>
        <w:wordWrap/>
        <w:overflowPunct/>
        <w:topLinePunct w:val="0"/>
        <w:autoSpaceDE/>
        <w:autoSpaceDN/>
        <w:bidi w:val="0"/>
        <w:adjustRightInd/>
        <w:snapToGrid/>
        <w:spacing w:line="360" w:lineRule="auto"/>
        <w:ind w:left="566" w:leftChars="0" w:right="0" w:rightChars="0"/>
        <w:jc w:val="both"/>
        <w:textAlignment w:val="auto"/>
        <w:outlineLvl w:val="9"/>
        <w:rPr>
          <w:rFonts w:hint="eastAsia" w:ascii="仿宋" w:hAnsi="仿宋" w:eastAsia="仿宋" w:cs="仿宋"/>
          <w:b/>
          <w:sz w:val="28"/>
          <w:szCs w:val="28"/>
        </w:rPr>
      </w:pPr>
      <w:r>
        <w:rPr>
          <w:rFonts w:hint="eastAsia" w:ascii="仿宋" w:hAnsi="仿宋" w:eastAsia="仿宋" w:cs="仿宋"/>
          <w:b/>
          <w:sz w:val="28"/>
          <w:szCs w:val="28"/>
        </w:rPr>
        <w:t>●</w:t>
      </w:r>
      <w:r>
        <w:rPr>
          <w:rFonts w:hint="eastAsia" w:ascii="仿宋" w:hAnsi="仿宋" w:eastAsia="仿宋" w:cs="仿宋"/>
          <w:b/>
          <w:sz w:val="28"/>
          <w:szCs w:val="28"/>
          <w:lang w:val="en-US" w:eastAsia="zh-CN"/>
        </w:rPr>
        <w:t xml:space="preserve"> </w:t>
      </w:r>
      <w:r>
        <w:rPr>
          <w:rFonts w:hint="eastAsia" w:ascii="仿宋" w:hAnsi="仿宋" w:eastAsia="仿宋" w:cs="仿宋"/>
          <w:b/>
          <w:sz w:val="28"/>
          <w:szCs w:val="28"/>
        </w:rPr>
        <w:t>第一阶段：清除大片溢油</w:t>
      </w:r>
    </w:p>
    <w:p>
      <w:pPr>
        <w:keepLines w:val="0"/>
        <w:pageBreakBefore w:val="0"/>
        <w:widowControl/>
        <w:kinsoku/>
        <w:wordWrap/>
        <w:overflowPunct/>
        <w:topLinePunct w:val="0"/>
        <w:autoSpaceDE/>
        <w:autoSpaceDN/>
        <w:bidi w:val="0"/>
        <w:adjustRightInd/>
        <w:snapToGrid/>
        <w:spacing w:line="360" w:lineRule="auto"/>
        <w:ind w:firstLine="660" w:firstLineChars="236"/>
        <w:jc w:val="both"/>
        <w:textAlignment w:val="auto"/>
        <w:outlineLvl w:val="9"/>
        <w:rPr>
          <w:rFonts w:hint="eastAsia" w:ascii="仿宋" w:hAnsi="仿宋" w:eastAsia="仿宋" w:cs="仿宋"/>
          <w:sz w:val="28"/>
          <w:szCs w:val="28"/>
        </w:rPr>
      </w:pPr>
      <w:r>
        <w:rPr>
          <w:rFonts w:hint="eastAsia" w:ascii="仿宋" w:hAnsi="仿宋" w:eastAsia="仿宋" w:cs="仿宋"/>
          <w:sz w:val="28"/>
          <w:szCs w:val="28"/>
        </w:rPr>
        <w:t>回收岸线水边的漂浮溢油和清除岸线上厚的油层。清除作业需要使用收油机、泵、铁锹和桶等机械设备和工具。</w:t>
      </w:r>
    </w:p>
    <w:p>
      <w:pPr>
        <w:keepLines w:val="0"/>
        <w:pageBreakBefore w:val="0"/>
        <w:widowControl/>
        <w:numPr>
          <w:ilvl w:val="0"/>
          <w:numId w:val="0"/>
        </w:numPr>
        <w:kinsoku/>
        <w:wordWrap/>
        <w:overflowPunct/>
        <w:topLinePunct w:val="0"/>
        <w:autoSpaceDE/>
        <w:autoSpaceDN/>
        <w:bidi w:val="0"/>
        <w:adjustRightInd/>
        <w:snapToGrid/>
        <w:spacing w:line="360" w:lineRule="auto"/>
        <w:ind w:left="566" w:leftChars="0" w:right="0" w:rightChars="0"/>
        <w:jc w:val="both"/>
        <w:textAlignment w:val="auto"/>
        <w:outlineLvl w:val="9"/>
        <w:rPr>
          <w:rFonts w:hint="eastAsia" w:ascii="仿宋" w:hAnsi="仿宋" w:eastAsia="仿宋" w:cs="仿宋"/>
          <w:b/>
          <w:sz w:val="28"/>
          <w:szCs w:val="28"/>
        </w:rPr>
      </w:pPr>
      <w:r>
        <w:rPr>
          <w:rFonts w:hint="eastAsia" w:ascii="仿宋" w:hAnsi="仿宋" w:eastAsia="仿宋" w:cs="仿宋"/>
          <w:b/>
          <w:sz w:val="28"/>
          <w:szCs w:val="28"/>
        </w:rPr>
        <w:t>●</w:t>
      </w:r>
      <w:r>
        <w:rPr>
          <w:rFonts w:hint="eastAsia" w:ascii="仿宋" w:hAnsi="仿宋" w:eastAsia="仿宋" w:cs="仿宋"/>
          <w:b/>
          <w:sz w:val="28"/>
          <w:szCs w:val="28"/>
          <w:lang w:val="en-US" w:eastAsia="zh-CN"/>
        </w:rPr>
        <w:t xml:space="preserve"> </w:t>
      </w:r>
      <w:r>
        <w:rPr>
          <w:rFonts w:hint="eastAsia" w:ascii="仿宋" w:hAnsi="仿宋" w:eastAsia="仿宋" w:cs="仿宋"/>
          <w:b/>
          <w:sz w:val="28"/>
          <w:szCs w:val="28"/>
        </w:rPr>
        <w:t>第二阶段：清除滩涂溢油</w:t>
      </w:r>
    </w:p>
    <w:p>
      <w:pPr>
        <w:keepLines w:val="0"/>
        <w:pageBreakBefore w:val="0"/>
        <w:widowControl/>
        <w:kinsoku/>
        <w:wordWrap/>
        <w:overflowPunct/>
        <w:topLinePunct w:val="0"/>
        <w:autoSpaceDE/>
        <w:autoSpaceDN/>
        <w:bidi w:val="0"/>
        <w:adjustRightInd/>
        <w:snapToGrid/>
        <w:spacing w:line="360" w:lineRule="auto"/>
        <w:ind w:firstLine="660" w:firstLineChars="236"/>
        <w:jc w:val="both"/>
        <w:textAlignment w:val="auto"/>
        <w:outlineLvl w:val="9"/>
        <w:rPr>
          <w:rFonts w:hint="eastAsia" w:ascii="仿宋" w:hAnsi="仿宋" w:eastAsia="仿宋" w:cs="仿宋"/>
          <w:sz w:val="28"/>
          <w:szCs w:val="28"/>
        </w:rPr>
      </w:pPr>
      <w:r>
        <w:rPr>
          <w:rFonts w:hint="eastAsia" w:ascii="仿宋" w:hAnsi="仿宋" w:eastAsia="仿宋" w:cs="仿宋"/>
          <w:sz w:val="28"/>
          <w:szCs w:val="28"/>
        </w:rPr>
        <w:t>清除渗入沙滩的溢油和被溢油污染的沙滩。如果溢油量很少或溢油在岸线上已有一段时间并且已经渗透到沙滩上层，清除操作经常从这时开始，需要投入收油机、泵、真空罐车和桶等设备。</w:t>
      </w:r>
    </w:p>
    <w:p>
      <w:pPr>
        <w:keepLines w:val="0"/>
        <w:pageBreakBefore w:val="0"/>
        <w:widowControl/>
        <w:numPr>
          <w:ilvl w:val="0"/>
          <w:numId w:val="0"/>
        </w:numPr>
        <w:kinsoku/>
        <w:wordWrap/>
        <w:overflowPunct/>
        <w:topLinePunct w:val="0"/>
        <w:autoSpaceDE/>
        <w:autoSpaceDN/>
        <w:bidi w:val="0"/>
        <w:adjustRightInd/>
        <w:snapToGrid/>
        <w:spacing w:line="360" w:lineRule="auto"/>
        <w:ind w:left="566" w:leftChars="0" w:right="0" w:rightChars="0"/>
        <w:jc w:val="both"/>
        <w:textAlignment w:val="auto"/>
        <w:outlineLvl w:val="9"/>
        <w:rPr>
          <w:rFonts w:hint="eastAsia" w:ascii="仿宋" w:hAnsi="仿宋" w:eastAsia="仿宋" w:cs="仿宋"/>
          <w:b/>
          <w:sz w:val="28"/>
          <w:szCs w:val="28"/>
        </w:rPr>
      </w:pPr>
      <w:r>
        <w:rPr>
          <w:rFonts w:hint="eastAsia" w:ascii="仿宋" w:hAnsi="仿宋" w:eastAsia="仿宋" w:cs="仿宋"/>
          <w:b/>
          <w:sz w:val="28"/>
          <w:szCs w:val="28"/>
        </w:rPr>
        <w:t>●</w:t>
      </w:r>
      <w:r>
        <w:rPr>
          <w:rFonts w:hint="eastAsia" w:ascii="仿宋" w:hAnsi="仿宋" w:eastAsia="仿宋" w:cs="仿宋"/>
          <w:b/>
          <w:sz w:val="28"/>
          <w:szCs w:val="28"/>
          <w:lang w:val="en-US" w:eastAsia="zh-CN"/>
        </w:rPr>
        <w:t xml:space="preserve"> </w:t>
      </w:r>
      <w:r>
        <w:rPr>
          <w:rFonts w:hint="eastAsia" w:ascii="仿宋" w:hAnsi="仿宋" w:eastAsia="仿宋" w:cs="仿宋"/>
          <w:b/>
          <w:sz w:val="28"/>
          <w:szCs w:val="28"/>
        </w:rPr>
        <w:t>第三阶段：最后清洁</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将残存的各种油污比较彻底地清除掉，这一阶段的作业需要使用吸油材料，如果海事管理机构许可，也可使用分散剂。</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.2.2</w:t>
      </w: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rPr>
        <w:t>清除技术方案</w:t>
      </w:r>
    </w:p>
    <w:p>
      <w:pPr>
        <w:keepLines w:val="0"/>
        <w:pageBreakBefore w:val="0"/>
        <w:widowControl/>
        <w:kinsoku/>
        <w:wordWrap/>
        <w:overflowPunct/>
        <w:topLinePunct w:val="0"/>
        <w:autoSpaceDE/>
        <w:autoSpaceDN/>
        <w:bidi w:val="0"/>
        <w:adjustRightInd/>
        <w:snapToGrid/>
        <w:spacing w:line="360" w:lineRule="auto"/>
        <w:ind w:firstLine="660" w:firstLineChars="236"/>
        <w:jc w:val="both"/>
        <w:textAlignment w:val="auto"/>
        <w:rPr>
          <w:rFonts w:hint="eastAsia" w:ascii="仿宋" w:hAnsi="仿宋" w:eastAsia="仿宋" w:cs="仿宋"/>
          <w:sz w:val="28"/>
          <w:szCs w:val="28"/>
        </w:rPr>
      </w:pPr>
      <w:r>
        <w:rPr>
          <w:rFonts w:hint="eastAsia" w:ascii="仿宋" w:hAnsi="仿宋" w:eastAsia="仿宋" w:cs="仿宋"/>
          <w:sz w:val="28"/>
          <w:szCs w:val="28"/>
        </w:rPr>
        <w:t>岸线溢油的清除主要使用泵、机械设备、人工回收或岸线清洁机等特殊设备，有时也可让它自然恢复。</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（1）人工使用铲、镐、筐和塑料袋清除溢油，适用于任何类型的岸线，特别适用于敏感性高的岸线和机械设备不能进入的岸线。虽然这种清除方式效率低，但清洁后的岸线资源恢复快。</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（2）冲刷污染岸线的表面。这种措施适用于清洁污染轻微的大圆石、鹅卵石、沙砾、码头岸壁等类型的岸线。</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3）自然恢复，适用于敏感程度比较高和进入非常困难的岸线或偏远地区岸线。有时进行岸线清除会造成比不清除更大的损害。若这些岸线经常暴露在汹涌的波浪中，自然清洁则更加快速有效。对采取自然恢复的岸线应进行定期监视监测，确定自然恢复程度。</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lang w:eastAsia="zh-CN"/>
        </w:rPr>
      </w:pPr>
      <w:r>
        <w:rPr>
          <w:rFonts w:hint="eastAsia" w:ascii="仿宋" w:hAnsi="仿宋" w:eastAsia="仿宋" w:cs="仿宋"/>
          <w:sz w:val="28"/>
          <w:szCs w:val="28"/>
        </w:rPr>
        <w:t>（4）使用清洗装置</w:t>
      </w:r>
      <w:r>
        <w:rPr>
          <w:rFonts w:hint="eastAsia" w:ascii="仿宋" w:hAnsi="仿宋" w:eastAsia="仿宋" w:cs="仿宋"/>
          <w:sz w:val="28"/>
          <w:szCs w:val="28"/>
          <w:lang w:eastAsia="zh-CN"/>
        </w:rPr>
        <w:t>。</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①</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使用低压清洁装置清洁岸线溢油。低压清洁装置是用周围水源来冲洗岸线油污，这种装置适用于清洁高敏感性的岸线，并用围油栏和收油机配合作业。操作时应先从污染严重的区域开始，最后清洁到水边。</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②</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使用高压热水清洁装置清洁岸线溢油。高压热水清洁装置是用来从坚硬表面上清洗风化的溢油的装置。使用该装置时，应提供足够的淡水，不能使用海水。清洁作业时应自上而下进行，并配合围油栏和收油机一起工作。这种清洁方法容易损害海洋表面的微生物。</w:t>
      </w:r>
    </w:p>
    <w:p>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（5）喷洒分散剂清除岸线表面余油。在岸线上使用分散剂需要得到许可，喷洒后应用海水冲洗或等待潮汐的冲刷。</w:t>
      </w:r>
    </w:p>
    <w:p>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（6）使用吸附材料吸附被冲入水边的溢油，以避免进一步污染岸线。</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（7）犁耙岸滩。这种技术适用于轻微污染的、没有旅游娱乐价值的岸线，将沙砾犁耙起来以充分通风，加快溢油风化。</w:t>
      </w:r>
    </w:p>
    <w:p>
      <w:pPr>
        <w:spacing w:line="360" w:lineRule="auto"/>
        <w:ind w:firstLine="560" w:firstLineChars="200"/>
        <w:jc w:val="both"/>
        <w:rPr>
          <w:rFonts w:hint="eastAsia" w:ascii="仿宋" w:hAnsi="仿宋" w:eastAsia="仿宋" w:cs="仿宋"/>
          <w:sz w:val="28"/>
          <w:szCs w:val="28"/>
          <w:lang w:eastAsia="zh-CN"/>
        </w:rPr>
      </w:pPr>
      <w:bookmarkStart w:id="88" w:name="_Toc3821"/>
      <w:r>
        <w:rPr>
          <w:rFonts w:hint="eastAsia" w:ascii="仿宋" w:hAnsi="仿宋" w:eastAsia="仿宋" w:cs="仿宋"/>
          <w:sz w:val="28"/>
          <w:szCs w:val="28"/>
        </w:rPr>
        <w:t>岸线清除是伴随着开阔水域发生溢油的处理一起进行的，不属于应急反应，这种作业可能持续几周时间或更长。清除作业时可能会发生意外情况，例如有大量迁徙的动物到来，或旅游季节即将开始，或正处于旅游旺季</w:t>
      </w:r>
      <w:r>
        <w:rPr>
          <w:rFonts w:hint="eastAsia" w:ascii="仿宋" w:hAnsi="仿宋" w:eastAsia="仿宋" w:cs="仿宋"/>
          <w:sz w:val="28"/>
          <w:szCs w:val="28"/>
          <w:lang w:eastAsia="zh-CN"/>
        </w:rPr>
        <w:t>。</w:t>
      </w:r>
    </w:p>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outlineLvl w:val="2"/>
        <w:rPr>
          <w:rFonts w:hint="eastAsia" w:ascii="仿宋" w:hAnsi="仿宋" w:eastAsia="仿宋" w:cs="仿宋"/>
          <w:b/>
          <w:bCs/>
          <w:sz w:val="28"/>
          <w:szCs w:val="28"/>
        </w:rPr>
      </w:pP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.2.3岸线清除作业影响因素</w:t>
      </w:r>
      <w:bookmarkEnd w:id="88"/>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在决定岸线清除作业或选择清除技术时，应考虑溢油量、溢油特性（如毒性和粘度）、现场条件（气象、季节、潮汐、温度）、岸线类型（悬崖、小鹅卵石、沙、沼泽）及应考虑的其他特殊因素。</w:t>
      </w:r>
    </w:p>
    <w:p>
      <w:pPr>
        <w:keepLines w:val="0"/>
        <w:pageBreakBefore w:val="0"/>
        <w:widowControl/>
        <w:kinsoku/>
        <w:wordWrap/>
        <w:overflowPunct/>
        <w:topLinePunct w:val="0"/>
        <w:autoSpaceDE/>
        <w:autoSpaceDN/>
        <w:bidi w:val="0"/>
        <w:adjustRightInd/>
        <w:snapToGrid/>
        <w:spacing w:line="360" w:lineRule="auto"/>
        <w:ind w:firstLine="663" w:firstLineChars="236"/>
        <w:jc w:val="both"/>
        <w:textAlignment w:val="auto"/>
        <w:rPr>
          <w:rFonts w:hint="eastAsia" w:ascii="仿宋" w:hAnsi="仿宋" w:eastAsia="仿宋" w:cs="仿宋"/>
          <w:b/>
          <w:sz w:val="28"/>
          <w:szCs w:val="28"/>
        </w:rPr>
      </w:pPr>
      <w:r>
        <w:rPr>
          <w:rFonts w:hint="eastAsia" w:ascii="仿宋" w:hAnsi="仿宋" w:eastAsia="仿宋" w:cs="仿宋"/>
          <w:b/>
          <w:sz w:val="28"/>
          <w:szCs w:val="28"/>
        </w:rPr>
        <w:t>（1）油的特性</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在岸线清洁作业前，一定要对溢油进行取样分析，来确定溢油是否具有毒性，可以用来判定：</w:t>
      </w:r>
    </w:p>
    <w:p>
      <w:pPr>
        <w:keepLines w:val="0"/>
        <w:pageBreakBefore w:val="0"/>
        <w:widowControl/>
        <w:kinsoku/>
        <w:wordWrap/>
        <w:overflowPunct/>
        <w:topLinePunct w:val="0"/>
        <w:autoSpaceDE/>
        <w:autoSpaceDN/>
        <w:bidi w:val="0"/>
        <w:adjustRightInd/>
        <w:snapToGrid/>
        <w:spacing w:line="360" w:lineRule="auto"/>
        <w:ind w:firstLine="658" w:firstLineChars="235"/>
        <w:jc w:val="both"/>
        <w:textAlignment w:val="auto"/>
        <w:rPr>
          <w:rFonts w:hint="eastAsia" w:ascii="仿宋" w:hAnsi="仿宋" w:eastAsia="仿宋" w:cs="仿宋"/>
          <w:sz w:val="28"/>
          <w:szCs w:val="28"/>
        </w:rPr>
      </w:pPr>
      <w:r>
        <w:rPr>
          <w:rFonts w:hint="eastAsia" w:ascii="仿宋" w:hAnsi="仿宋" w:eastAsia="仿宋" w:cs="仿宋"/>
          <w:sz w:val="28"/>
          <w:szCs w:val="28"/>
        </w:rPr>
        <w:t>①</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岸线生物及环境受到损害的级别；</w:t>
      </w:r>
    </w:p>
    <w:p>
      <w:pPr>
        <w:keepLines w:val="0"/>
        <w:pageBreakBefore w:val="0"/>
        <w:widowControl/>
        <w:kinsoku/>
        <w:wordWrap/>
        <w:overflowPunct/>
        <w:topLinePunct w:val="0"/>
        <w:autoSpaceDE/>
        <w:autoSpaceDN/>
        <w:bidi w:val="0"/>
        <w:adjustRightInd/>
        <w:snapToGrid/>
        <w:spacing w:line="360" w:lineRule="auto"/>
        <w:ind w:firstLine="658" w:firstLineChars="235"/>
        <w:jc w:val="both"/>
        <w:textAlignment w:val="auto"/>
        <w:rPr>
          <w:rFonts w:hint="eastAsia" w:ascii="仿宋" w:hAnsi="仿宋" w:eastAsia="仿宋" w:cs="仿宋"/>
          <w:sz w:val="28"/>
          <w:szCs w:val="28"/>
        </w:rPr>
      </w:pPr>
      <w:r>
        <w:rPr>
          <w:rFonts w:hint="eastAsia" w:ascii="仿宋" w:hAnsi="仿宋" w:eastAsia="仿宋" w:cs="仿宋"/>
          <w:sz w:val="28"/>
          <w:szCs w:val="28"/>
        </w:rPr>
        <w:t>②</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清污人员可能遇到的危险；</w:t>
      </w:r>
    </w:p>
    <w:p>
      <w:pPr>
        <w:keepLines w:val="0"/>
        <w:pageBreakBefore w:val="0"/>
        <w:widowControl/>
        <w:kinsoku/>
        <w:wordWrap/>
        <w:overflowPunct/>
        <w:topLinePunct w:val="0"/>
        <w:autoSpaceDE/>
        <w:autoSpaceDN/>
        <w:bidi w:val="0"/>
        <w:adjustRightInd/>
        <w:snapToGrid/>
        <w:spacing w:line="360" w:lineRule="auto"/>
        <w:ind w:firstLine="658" w:firstLineChars="235"/>
        <w:jc w:val="both"/>
        <w:textAlignment w:val="auto"/>
        <w:rPr>
          <w:rFonts w:hint="eastAsia" w:ascii="仿宋" w:hAnsi="仿宋" w:eastAsia="仿宋" w:cs="仿宋"/>
          <w:sz w:val="28"/>
          <w:szCs w:val="28"/>
        </w:rPr>
      </w:pPr>
      <w:r>
        <w:rPr>
          <w:rFonts w:hint="eastAsia" w:ascii="仿宋" w:hAnsi="仿宋" w:eastAsia="仿宋" w:cs="仿宋"/>
          <w:sz w:val="28"/>
          <w:szCs w:val="28"/>
        </w:rPr>
        <w:t>③</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溢油在岸线上的状态；</w:t>
      </w:r>
    </w:p>
    <w:p>
      <w:pPr>
        <w:keepLines w:val="0"/>
        <w:pageBreakBefore w:val="0"/>
        <w:widowControl/>
        <w:kinsoku/>
        <w:wordWrap/>
        <w:overflowPunct/>
        <w:topLinePunct w:val="0"/>
        <w:autoSpaceDE/>
        <w:autoSpaceDN/>
        <w:bidi w:val="0"/>
        <w:adjustRightInd/>
        <w:snapToGrid/>
        <w:spacing w:line="360" w:lineRule="auto"/>
        <w:ind w:firstLine="658" w:firstLineChars="235"/>
        <w:jc w:val="both"/>
        <w:textAlignment w:val="auto"/>
        <w:rPr>
          <w:rFonts w:hint="eastAsia" w:ascii="仿宋" w:hAnsi="仿宋" w:eastAsia="仿宋" w:cs="仿宋"/>
          <w:sz w:val="28"/>
          <w:szCs w:val="28"/>
        </w:rPr>
      </w:pPr>
      <w:r>
        <w:rPr>
          <w:rFonts w:hint="eastAsia" w:ascii="仿宋" w:hAnsi="仿宋" w:eastAsia="仿宋" w:cs="仿宋"/>
          <w:sz w:val="28"/>
          <w:szCs w:val="28"/>
        </w:rPr>
        <w:t>④</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为确定岸线清洁措施提供溢油的基础信息。</w:t>
      </w:r>
    </w:p>
    <w:p>
      <w:pPr>
        <w:spacing w:line="360" w:lineRule="auto"/>
        <w:ind w:firstLine="562" w:firstLineChars="200"/>
        <w:rPr>
          <w:rFonts w:hint="eastAsia" w:ascii="仿宋" w:hAnsi="仿宋" w:eastAsia="仿宋" w:cs="仿宋"/>
          <w:b/>
          <w:bCs/>
          <w:sz w:val="28"/>
          <w:szCs w:val="28"/>
        </w:rPr>
      </w:pPr>
      <w:r>
        <w:rPr>
          <w:rFonts w:hint="eastAsia" w:ascii="仿宋" w:hAnsi="仿宋" w:eastAsia="仿宋" w:cs="仿宋"/>
          <w:b/>
          <w:bCs/>
          <w:sz w:val="28"/>
          <w:szCs w:val="28"/>
        </w:rPr>
        <w:t>（2）现场情况</w:t>
      </w:r>
    </w:p>
    <w:p>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主要应掌握现场的风、流、波浪、气温等情况。这些因素影响着溢油的漂移，溢油的漂移又影响清除设备的应用。另外，还要掌握当时的高潮、低潮时间和潮位，以便制定有效的初始计划。</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sz w:val="28"/>
          <w:szCs w:val="28"/>
        </w:rPr>
      </w:pPr>
      <w:r>
        <w:rPr>
          <w:rFonts w:hint="eastAsia" w:ascii="仿宋" w:hAnsi="仿宋" w:eastAsia="仿宋" w:cs="仿宋"/>
          <w:b/>
          <w:sz w:val="28"/>
          <w:szCs w:val="28"/>
        </w:rPr>
        <w:t>（3）岸线类型</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不同类型的岸线所适用的清除技术不同。</w:t>
      </w:r>
    </w:p>
    <w:p>
      <w:pPr>
        <w:keepLines w:val="0"/>
        <w:pageBreakBefore w:val="0"/>
        <w:widowControl/>
        <w:numPr>
          <w:ilvl w:val="0"/>
          <w:numId w:val="5"/>
        </w:numPr>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仿宋" w:hAnsi="仿宋" w:eastAsia="仿宋" w:cs="仿宋"/>
          <w:b/>
          <w:bCs/>
          <w:sz w:val="28"/>
          <w:szCs w:val="28"/>
          <w:lang w:eastAsia="zh-CN"/>
        </w:rPr>
      </w:pPr>
      <w:r>
        <w:rPr>
          <w:rFonts w:hint="eastAsia" w:ascii="仿宋" w:hAnsi="仿宋" w:eastAsia="仿宋" w:cs="仿宋"/>
          <w:b/>
          <w:bCs/>
          <w:sz w:val="28"/>
          <w:szCs w:val="28"/>
          <w:lang w:eastAsia="zh-CN"/>
        </w:rPr>
        <w:t>特殊考虑</w:t>
      </w:r>
    </w:p>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sectPr>
          <w:footerReference r:id="rId10" w:type="first"/>
          <w:footerReference r:id="rId9" w:type="default"/>
          <w:pgSz w:w="11906" w:h="16838"/>
          <w:pgMar w:top="1247" w:right="1418" w:bottom="1247" w:left="1418" w:header="964" w:footer="851" w:gutter="0"/>
          <w:pgBorders w:offsetFrom="page">
            <w:top w:val="none" w:sz="0" w:space="0"/>
            <w:left w:val="none" w:sz="0" w:space="0"/>
            <w:bottom w:val="none" w:sz="0" w:space="0"/>
            <w:right w:val="none" w:sz="0" w:space="0"/>
          </w:pgBorders>
          <w:pgNumType w:fmt="decimal" w:start="1"/>
          <w:cols w:space="720" w:num="1"/>
          <w:titlePg/>
          <w:docGrid w:linePitch="312" w:charSpace="0"/>
        </w:sectPr>
      </w:pP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1F497D"/>
          <w:sz w:val="28"/>
          <w:szCs w:val="28"/>
        </w:rPr>
      </w:pPr>
      <w:r>
        <w:rPr>
          <w:rFonts w:hint="eastAsia" w:ascii="仿宋" w:hAnsi="仿宋" w:eastAsia="仿宋" w:cs="仿宋"/>
          <w:sz w:val="28"/>
          <w:szCs w:val="28"/>
        </w:rPr>
        <w:t>有些岸线对溢油的敏感程度有季节性，这直接影响到是否采取岸线清除作业。在特定的时间内野生动物会在该区域觅食或在该区域筑巢孵卵，或聚集着成千上万的迁息鸟类；滨海沙滩具有旅游观光、作为浴场等很高的经济价值和社会价值，在旅游季节或有特殊用途时，应考虑公众的关注程度。</w:t>
      </w:r>
    </w:p>
    <w:p>
      <w:pPr>
        <w:pStyle w:val="25"/>
        <w:keepNext/>
        <w:keepLines w:val="0"/>
        <w:pageBreakBefore w:val="0"/>
        <w:widowControl/>
        <w:kinsoku/>
        <w:wordWrap/>
        <w:overflowPunct/>
        <w:topLinePunct w:val="0"/>
        <w:autoSpaceDE/>
        <w:autoSpaceDN/>
        <w:bidi w:val="0"/>
        <w:adjustRightInd/>
        <w:snapToGrid/>
        <w:spacing w:before="164" w:beforeLines="50" w:after="164" w:afterLines="50" w:line="360" w:lineRule="auto"/>
        <w:jc w:val="both"/>
        <w:textAlignment w:val="auto"/>
        <w:outlineLvl w:val="1"/>
        <w:rPr>
          <w:rFonts w:hint="eastAsia" w:ascii="仿宋" w:hAnsi="仿宋" w:eastAsia="仿宋" w:cs="仿宋"/>
          <w:b/>
          <w:bCs/>
          <w:iCs/>
          <w:sz w:val="28"/>
          <w:szCs w:val="28"/>
        </w:rPr>
      </w:pPr>
      <w:bookmarkStart w:id="89" w:name="_Toc14375"/>
      <w:bookmarkStart w:id="90" w:name="_Toc21543"/>
      <w:bookmarkStart w:id="91" w:name="_Toc16229"/>
      <w:r>
        <w:rPr>
          <w:rFonts w:hint="eastAsia" w:ascii="仿宋" w:hAnsi="仿宋" w:eastAsia="仿宋" w:cs="仿宋"/>
          <w:b/>
          <w:bCs/>
          <w:iCs/>
          <w:sz w:val="28"/>
          <w:szCs w:val="28"/>
          <w:lang w:val="en-US" w:eastAsia="zh-CN"/>
        </w:rPr>
        <w:t>7</w:t>
      </w:r>
      <w:r>
        <w:rPr>
          <w:rFonts w:hint="eastAsia" w:ascii="仿宋" w:hAnsi="仿宋" w:eastAsia="仿宋" w:cs="仿宋"/>
          <w:b/>
          <w:bCs/>
          <w:iCs/>
          <w:sz w:val="28"/>
          <w:szCs w:val="28"/>
        </w:rPr>
        <w:t>.3不同类型岸线污染清除方法</w:t>
      </w:r>
      <w:bookmarkEnd w:id="89"/>
      <w:bookmarkEnd w:id="90"/>
      <w:bookmarkEnd w:id="91"/>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1F497D"/>
          <w:sz w:val="28"/>
          <w:szCs w:val="28"/>
        </w:rPr>
      </w:pPr>
      <w:r>
        <w:rPr>
          <w:rFonts w:hint="eastAsia" w:ascii="仿宋" w:hAnsi="仿宋" w:eastAsia="仿宋" w:cs="仿宋"/>
          <w:sz w:val="28"/>
          <w:szCs w:val="28"/>
        </w:rPr>
        <w:t>根据不同岸线的特点和不同清除技术的适用范围，表</w:t>
      </w:r>
      <w:r>
        <w:rPr>
          <w:rFonts w:hint="eastAsia" w:ascii="仿宋" w:hAnsi="仿宋" w:eastAsia="仿宋" w:cs="仿宋"/>
          <w:sz w:val="28"/>
          <w:szCs w:val="28"/>
          <w:lang w:val="en-US" w:eastAsia="zh-CN"/>
        </w:rPr>
        <w:t>7</w:t>
      </w:r>
      <w:r>
        <w:rPr>
          <w:rFonts w:hint="eastAsia" w:ascii="仿宋" w:hAnsi="仿宋" w:eastAsia="仿宋" w:cs="仿宋"/>
          <w:sz w:val="28"/>
          <w:szCs w:val="28"/>
        </w:rPr>
        <w:t>-2总结了不同岸线初始清除和最终清除的清除方法。</w:t>
      </w:r>
    </w:p>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pPr>
    </w:p>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pPr>
    </w:p>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pPr>
    </w:p>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sectPr>
          <w:pgSz w:w="11906" w:h="16838"/>
          <w:pgMar w:top="1247" w:right="1418" w:bottom="1247" w:left="1418" w:header="964" w:footer="851" w:gutter="0"/>
          <w:pgBorders w:offsetFrom="page">
            <w:top w:val="none" w:sz="0" w:space="0"/>
            <w:left w:val="none" w:sz="0" w:space="0"/>
            <w:bottom w:val="none" w:sz="0" w:space="0"/>
            <w:right w:val="none" w:sz="0" w:space="0"/>
          </w:pgBorders>
          <w:pgNumType w:fmt="decimal"/>
          <w:cols w:space="720" w:num="1"/>
          <w:titlePg/>
          <w:docGrid w:linePitch="312" w:charSpace="0"/>
        </w:sectPr>
      </w:pPr>
    </w:p>
    <w:p>
      <w:pPr>
        <w:keepNext w:val="0"/>
        <w:keepLines w:val="0"/>
        <w:pageBreakBefore w:val="0"/>
        <w:widowControl/>
        <w:kinsoku/>
        <w:wordWrap/>
        <w:overflowPunct/>
        <w:topLinePunct w:val="0"/>
        <w:autoSpaceDE/>
        <w:autoSpaceDN/>
        <w:bidi w:val="0"/>
        <w:adjustRightInd/>
        <w:snapToGrid/>
        <w:spacing w:before="120" w:beforeLines="50" w:line="500" w:lineRule="exact"/>
        <w:jc w:val="center"/>
        <w:textAlignment w:val="auto"/>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7</w:t>
      </w:r>
      <w:r>
        <w:rPr>
          <w:rFonts w:hint="eastAsia" w:ascii="仿宋" w:hAnsi="仿宋" w:eastAsia="仿宋" w:cs="仿宋"/>
          <w:b/>
          <w:sz w:val="28"/>
          <w:szCs w:val="28"/>
        </w:rPr>
        <w:t>-2 不同类型岸线的清除方法</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60"/>
        <w:gridCol w:w="691"/>
        <w:gridCol w:w="825"/>
        <w:gridCol w:w="824"/>
        <w:gridCol w:w="825"/>
        <w:gridCol w:w="2453"/>
        <w:gridCol w:w="825"/>
        <w:gridCol w:w="960"/>
        <w:gridCol w:w="948"/>
        <w:gridCol w:w="1090"/>
        <w:gridCol w:w="870"/>
        <w:gridCol w:w="853"/>
        <w:gridCol w:w="156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2" w:hRule="exact"/>
          <w:jc w:val="center"/>
        </w:trPr>
        <w:tc>
          <w:tcPr>
            <w:tcW w:w="6912" w:type="dxa"/>
            <w:gridSpan w:val="6"/>
            <w:tcBorders>
              <w:tl2br w:val="nil"/>
              <w:tr2bl w:val="nil"/>
            </w:tcBorders>
            <w:noWrap w:val="0"/>
            <w:vAlign w:val="center"/>
          </w:tcPr>
          <w:p>
            <w:pPr>
              <w:spacing w:line="240" w:lineRule="auto"/>
              <w:ind w:left="-90"/>
              <w:jc w:val="center"/>
              <w:rPr>
                <w:rFonts w:hint="eastAsia" w:ascii="仿宋" w:hAnsi="仿宋" w:eastAsia="仿宋" w:cs="仿宋"/>
                <w:b/>
                <w:sz w:val="24"/>
                <w:szCs w:val="24"/>
              </w:rPr>
            </w:pPr>
            <w:r>
              <w:rPr>
                <w:rFonts w:hint="eastAsia" w:ascii="仿宋" w:hAnsi="仿宋" w:eastAsia="仿宋" w:cs="仿宋"/>
                <w:b/>
                <w:sz w:val="24"/>
                <w:szCs w:val="24"/>
              </w:rPr>
              <w:t>初始清除</w:t>
            </w:r>
          </w:p>
        </w:tc>
        <w:tc>
          <w:tcPr>
            <w:tcW w:w="7356" w:type="dxa"/>
            <w:gridSpan w:val="7"/>
            <w:tcBorders>
              <w:tl2br w:val="nil"/>
              <w:tr2bl w:val="nil"/>
            </w:tcBorders>
            <w:noWrap w:val="0"/>
            <w:vAlign w:val="center"/>
          </w:tcPr>
          <w:p>
            <w:pPr>
              <w:spacing w:line="240" w:lineRule="auto"/>
              <w:ind w:left="-90"/>
              <w:jc w:val="center"/>
              <w:rPr>
                <w:rFonts w:hint="eastAsia" w:ascii="仿宋" w:hAnsi="仿宋" w:eastAsia="仿宋" w:cs="仿宋"/>
                <w:b/>
                <w:sz w:val="24"/>
                <w:szCs w:val="24"/>
              </w:rPr>
            </w:pPr>
            <w:r>
              <w:rPr>
                <w:rFonts w:hint="eastAsia" w:ascii="仿宋" w:hAnsi="仿宋" w:eastAsia="仿宋" w:cs="仿宋"/>
                <w:b/>
                <w:sz w:val="24"/>
                <w:szCs w:val="24"/>
              </w:rPr>
              <w:t>最终清除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097"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p>
        </w:tc>
        <w:tc>
          <w:tcPr>
            <w:tcW w:w="712"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撇除</w:t>
            </w:r>
          </w:p>
        </w:tc>
        <w:tc>
          <w:tcPr>
            <w:tcW w:w="851"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机械</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清除</w:t>
            </w:r>
          </w:p>
        </w:tc>
        <w:tc>
          <w:tcPr>
            <w:tcW w:w="850"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人工</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清除</w:t>
            </w:r>
          </w:p>
        </w:tc>
        <w:tc>
          <w:tcPr>
            <w:tcW w:w="851"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自然</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复原</w:t>
            </w:r>
          </w:p>
        </w:tc>
        <w:tc>
          <w:tcPr>
            <w:tcW w:w="25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说明</w:t>
            </w:r>
          </w:p>
        </w:tc>
        <w:tc>
          <w:tcPr>
            <w:tcW w:w="851"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低压冲刷</w:t>
            </w:r>
          </w:p>
        </w:tc>
        <w:tc>
          <w:tcPr>
            <w:tcW w:w="992"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高压冲洗</w:t>
            </w:r>
          </w:p>
        </w:tc>
        <w:tc>
          <w:tcPr>
            <w:tcW w:w="980"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分散剂</w:t>
            </w:r>
          </w:p>
        </w:tc>
        <w:tc>
          <w:tcPr>
            <w:tcW w:w="1128"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自然有机</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吸附</w:t>
            </w:r>
          </w:p>
        </w:tc>
        <w:tc>
          <w:tcPr>
            <w:tcW w:w="898"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分批</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冲洗</w:t>
            </w:r>
          </w:p>
        </w:tc>
        <w:tc>
          <w:tcPr>
            <w:tcW w:w="88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自然</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复原</w:t>
            </w:r>
          </w:p>
        </w:tc>
        <w:tc>
          <w:tcPr>
            <w:tcW w:w="1626"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说明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09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岩石、砾石、人工</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构筑物</w:t>
            </w:r>
          </w:p>
        </w:tc>
        <w:tc>
          <w:tcPr>
            <w:tcW w:w="71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不适用</w:t>
            </w:r>
          </w:p>
        </w:tc>
        <w:tc>
          <w:tcPr>
            <w:tcW w:w="85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2551" w:type="dxa"/>
            <w:tcBorders>
              <w:tl2br w:val="nil"/>
              <w:tr2bl w:val="nil"/>
            </w:tcBorders>
            <w:noWrap w:val="0"/>
            <w:vAlign w:val="center"/>
          </w:tcPr>
          <w:p>
            <w:pPr>
              <w:spacing w:line="240" w:lineRule="auto"/>
              <w:ind w:left="-90"/>
              <w:rPr>
                <w:rFonts w:hint="eastAsia" w:ascii="仿宋" w:hAnsi="仿宋" w:eastAsia="仿宋" w:cs="仿宋"/>
                <w:sz w:val="24"/>
                <w:szCs w:val="24"/>
              </w:rPr>
            </w:pPr>
            <w:r>
              <w:rPr>
                <w:rFonts w:hint="eastAsia" w:ascii="仿宋" w:hAnsi="仿宋" w:eastAsia="仿宋" w:cs="仿宋"/>
                <w:sz w:val="24"/>
                <w:szCs w:val="24"/>
              </w:rPr>
              <w:t>不易进出的不采用泵吸/撇除方法。暴露的和人迹罕至的岸线最好用自然复原方法</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不适用</w:t>
            </w:r>
          </w:p>
        </w:tc>
        <w:tc>
          <w:tcPr>
            <w:tcW w:w="99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98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112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可能有用</w:t>
            </w:r>
          </w:p>
        </w:tc>
        <w:tc>
          <w:tcPr>
            <w:tcW w:w="89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不适用</w:t>
            </w:r>
          </w:p>
        </w:tc>
        <w:tc>
          <w:tcPr>
            <w:tcW w:w="88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1626" w:type="dxa"/>
            <w:tcBorders>
              <w:tl2br w:val="nil"/>
              <w:tr2bl w:val="nil"/>
            </w:tcBorders>
            <w:noWrap w:val="0"/>
            <w:vAlign w:val="center"/>
          </w:tcPr>
          <w:p>
            <w:pPr>
              <w:spacing w:line="240" w:lineRule="auto"/>
              <w:ind w:left="-90"/>
              <w:rPr>
                <w:rFonts w:hint="eastAsia" w:ascii="仿宋" w:hAnsi="仿宋" w:eastAsia="仿宋" w:cs="仿宋"/>
                <w:sz w:val="24"/>
                <w:szCs w:val="24"/>
              </w:rPr>
            </w:pPr>
            <w:r>
              <w:rPr>
                <w:rFonts w:hint="eastAsia" w:ascii="仿宋" w:hAnsi="仿宋" w:eastAsia="仿宋" w:cs="仿宋"/>
                <w:sz w:val="24"/>
                <w:szCs w:val="24"/>
              </w:rPr>
              <w:t>避免损伤岩石/人工构筑物。</w:t>
            </w:r>
          </w:p>
          <w:p>
            <w:pPr>
              <w:spacing w:line="240" w:lineRule="auto"/>
              <w:ind w:left="-90"/>
              <w:rPr>
                <w:rFonts w:hint="eastAsia" w:ascii="仿宋" w:hAnsi="仿宋" w:eastAsia="仿宋" w:cs="仿宋"/>
                <w:sz w:val="24"/>
                <w:szCs w:val="24"/>
              </w:rPr>
            </w:pPr>
            <w:r>
              <w:rPr>
                <w:rFonts w:hint="eastAsia" w:ascii="仿宋" w:hAnsi="仿宋" w:eastAsia="仿宋" w:cs="仿宋"/>
                <w:sz w:val="24"/>
                <w:szCs w:val="24"/>
              </w:rPr>
              <w:t>巨大的岩石不易清除通常清除效果差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097"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卵石、砾石、扁砾石</w:t>
            </w:r>
          </w:p>
        </w:tc>
        <w:tc>
          <w:tcPr>
            <w:tcW w:w="71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85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2551" w:type="dxa"/>
            <w:tcBorders>
              <w:tl2br w:val="nil"/>
              <w:tr2bl w:val="nil"/>
            </w:tcBorders>
            <w:noWrap w:val="0"/>
            <w:vAlign w:val="center"/>
          </w:tcPr>
          <w:p>
            <w:pPr>
              <w:spacing w:line="240" w:lineRule="auto"/>
              <w:ind w:left="-90"/>
              <w:rPr>
                <w:rFonts w:hint="eastAsia" w:ascii="仿宋" w:hAnsi="仿宋" w:eastAsia="仿宋" w:cs="仿宋"/>
                <w:sz w:val="24"/>
                <w:szCs w:val="24"/>
              </w:rPr>
            </w:pPr>
            <w:r>
              <w:rPr>
                <w:rFonts w:hint="eastAsia" w:ascii="仿宋" w:hAnsi="仿宋" w:eastAsia="仿宋" w:cs="仿宋"/>
                <w:sz w:val="24"/>
                <w:szCs w:val="24"/>
              </w:rPr>
              <w:t>暴露/人迹罕至的岸线最好用自然复原方法</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99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98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112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可能有用</w:t>
            </w:r>
          </w:p>
        </w:tc>
        <w:tc>
          <w:tcPr>
            <w:tcW w:w="89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8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1626" w:type="dxa"/>
            <w:tcBorders>
              <w:tl2br w:val="nil"/>
              <w:tr2bl w:val="nil"/>
            </w:tcBorders>
            <w:noWrap w:val="0"/>
            <w:vAlign w:val="center"/>
          </w:tcPr>
          <w:p>
            <w:pPr>
              <w:spacing w:line="240" w:lineRule="auto"/>
              <w:ind w:left="-90"/>
              <w:rPr>
                <w:rFonts w:hint="eastAsia" w:ascii="仿宋" w:hAnsi="仿宋" w:eastAsia="仿宋" w:cs="仿宋"/>
                <w:sz w:val="24"/>
                <w:szCs w:val="24"/>
              </w:rPr>
            </w:pPr>
            <w:r>
              <w:rPr>
                <w:rFonts w:hint="eastAsia" w:ascii="仿宋" w:hAnsi="仿宋" w:eastAsia="仿宋" w:cs="仿宋"/>
                <w:sz w:val="24"/>
                <w:szCs w:val="24"/>
              </w:rPr>
              <w:t>如果有较好的承受特性，通过海浪冲击可提高自然复原效果</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09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沙滩</w:t>
            </w:r>
          </w:p>
        </w:tc>
        <w:tc>
          <w:tcPr>
            <w:tcW w:w="71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5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2551"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重型设备只适用于坚硬的海滩</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99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98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112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不适用</w:t>
            </w:r>
          </w:p>
        </w:tc>
        <w:tc>
          <w:tcPr>
            <w:tcW w:w="89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8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162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可用通用的海滩清除机械清除固体状油。耕耙可提高自然复原效果</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09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淤泥滩、沼泽</w:t>
            </w:r>
          </w:p>
        </w:tc>
        <w:tc>
          <w:tcPr>
            <w:tcW w:w="71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85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2551"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最好用浅吃水的小船进行作业</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99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98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112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9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不适用</w:t>
            </w:r>
          </w:p>
        </w:tc>
        <w:tc>
          <w:tcPr>
            <w:tcW w:w="88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162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最好用浅吃水的小船进行作业</w:t>
            </w:r>
          </w:p>
        </w:tc>
      </w:tr>
    </w:tbl>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sectPr>
          <w:pgSz w:w="16838" w:h="11906" w:orient="landscape"/>
          <w:pgMar w:top="1247" w:right="1417" w:bottom="1247" w:left="1418" w:header="964" w:footer="851" w:gutter="0"/>
          <w:pgBorders w:offsetFrom="page">
            <w:top w:val="none" w:sz="0" w:space="0"/>
            <w:left w:val="none" w:sz="0" w:space="0"/>
            <w:bottom w:val="none" w:sz="0" w:space="0"/>
            <w:right w:val="none" w:sz="0" w:space="0"/>
          </w:pgBorders>
          <w:pgNumType w:fmt="decimal"/>
          <w:cols w:space="720" w:num="1"/>
          <w:titlePg/>
          <w:docGrid w:linePitch="312" w:charSpace="0"/>
        </w:sectPr>
      </w:pPr>
    </w:p>
    <w:p>
      <w:pPr>
        <w:pStyle w:val="26"/>
        <w:keepNext/>
        <w:keepLines w:val="0"/>
        <w:pageBreakBefore w:val="0"/>
        <w:widowControl/>
        <w:kinsoku/>
        <w:wordWrap/>
        <w:overflowPunct/>
        <w:topLinePunct w:val="0"/>
        <w:autoSpaceDE/>
        <w:autoSpaceDN/>
        <w:bidi w:val="0"/>
        <w:adjustRightInd/>
        <w:snapToGrid/>
        <w:spacing w:before="157" w:beforeLines="50" w:after="157" w:afterLines="50" w:line="360" w:lineRule="auto"/>
        <w:ind w:left="0" w:leftChars="0" w:firstLine="562" w:firstLineChars="200"/>
        <w:jc w:val="both"/>
        <w:textAlignment w:val="auto"/>
        <w:outlineLvl w:val="0"/>
        <w:rPr>
          <w:rFonts w:hint="eastAsia" w:ascii="仿宋" w:hAnsi="仿宋" w:eastAsia="仿宋" w:cs="仿宋"/>
          <w:b/>
          <w:bCs/>
          <w:sz w:val="28"/>
          <w:szCs w:val="28"/>
        </w:rPr>
      </w:pPr>
      <w:bookmarkStart w:id="92" w:name="_Toc10113"/>
      <w:bookmarkStart w:id="93" w:name="_Toc326"/>
      <w:bookmarkStart w:id="94" w:name="_Toc12608"/>
      <w:r>
        <w:rPr>
          <w:rFonts w:hint="eastAsia" w:ascii="仿宋" w:hAnsi="仿宋" w:eastAsia="仿宋" w:cs="仿宋"/>
          <w:b/>
          <w:bCs/>
          <w:sz w:val="28"/>
          <w:szCs w:val="28"/>
          <w:lang w:val="en-US" w:eastAsia="zh-CN"/>
        </w:rPr>
        <w:t>8、</w:t>
      </w:r>
      <w:r>
        <w:rPr>
          <w:rFonts w:hint="eastAsia" w:ascii="仿宋" w:hAnsi="仿宋" w:eastAsia="仿宋" w:cs="仿宋"/>
          <w:b/>
          <w:bCs/>
          <w:sz w:val="28"/>
          <w:szCs w:val="28"/>
        </w:rPr>
        <w:t>污染清除作业安全方案</w:t>
      </w:r>
      <w:bookmarkEnd w:id="92"/>
      <w:bookmarkEnd w:id="93"/>
      <w:bookmarkEnd w:id="94"/>
    </w:p>
    <w:p>
      <w:pPr>
        <w:pStyle w:val="25"/>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562" w:firstLineChars="200"/>
        <w:jc w:val="both"/>
        <w:textAlignment w:val="auto"/>
        <w:outlineLvl w:val="1"/>
        <w:rPr>
          <w:rFonts w:hint="eastAsia" w:ascii="仿宋" w:hAnsi="仿宋" w:eastAsia="仿宋" w:cs="仿宋"/>
          <w:b/>
          <w:bCs/>
          <w:iCs/>
          <w:sz w:val="28"/>
          <w:szCs w:val="28"/>
        </w:rPr>
      </w:pPr>
      <w:bookmarkStart w:id="95" w:name="_Toc12461"/>
      <w:bookmarkStart w:id="96" w:name="_Toc26550"/>
      <w:bookmarkStart w:id="97" w:name="_Toc5505"/>
      <w:r>
        <w:rPr>
          <w:rFonts w:hint="eastAsia" w:ascii="仿宋" w:hAnsi="仿宋" w:eastAsia="仿宋" w:cs="仿宋"/>
          <w:b/>
          <w:bCs/>
          <w:iCs/>
          <w:sz w:val="28"/>
          <w:szCs w:val="28"/>
          <w:lang w:val="en-US" w:eastAsia="zh-CN"/>
        </w:rPr>
        <w:t>8</w:t>
      </w:r>
      <w:r>
        <w:rPr>
          <w:rFonts w:hint="eastAsia" w:ascii="仿宋" w:hAnsi="仿宋" w:eastAsia="仿宋" w:cs="仿宋"/>
          <w:b/>
          <w:bCs/>
          <w:iCs/>
          <w:sz w:val="28"/>
          <w:szCs w:val="28"/>
        </w:rPr>
        <w:t>.1本公司配备的安全防护设备设施情况</w:t>
      </w:r>
      <w:bookmarkEnd w:id="95"/>
      <w:bookmarkEnd w:id="96"/>
      <w:bookmarkEnd w:id="97"/>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lang w:eastAsia="zh-CN"/>
        </w:rPr>
      </w:pPr>
      <w:r>
        <w:rPr>
          <w:rFonts w:hint="eastAsia" w:ascii="仿宋" w:hAnsi="仿宋" w:eastAsia="仿宋" w:cs="仿宋"/>
          <w:sz w:val="28"/>
          <w:szCs w:val="28"/>
        </w:rPr>
        <w:t>本公司为溢油应急清污人员配备有防化服、安全帽、正压式呼吸器、防护眼罩等防护用品，详见表</w:t>
      </w:r>
      <w:r>
        <w:rPr>
          <w:rFonts w:hint="eastAsia" w:ascii="仿宋" w:hAnsi="仿宋" w:eastAsia="仿宋" w:cs="仿宋"/>
          <w:sz w:val="28"/>
          <w:szCs w:val="28"/>
          <w:lang w:val="en-US" w:eastAsia="zh-CN"/>
        </w:rPr>
        <w:t>8</w:t>
      </w:r>
      <w:r>
        <w:rPr>
          <w:rFonts w:hint="eastAsia" w:ascii="仿宋" w:hAnsi="仿宋" w:eastAsia="仿宋" w:cs="仿宋"/>
          <w:sz w:val="28"/>
          <w:szCs w:val="28"/>
        </w:rPr>
        <w:t>-1</w:t>
      </w:r>
      <w:r>
        <w:rPr>
          <w:rFonts w:hint="eastAsia" w:ascii="仿宋" w:hAnsi="仿宋" w:eastAsia="仿宋" w:cs="仿宋"/>
          <w:sz w:val="28"/>
          <w:szCs w:val="28"/>
          <w:lang w:eastAsia="zh-CN"/>
        </w:rPr>
        <w:t>。</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4"/>
          <w:szCs w:val="24"/>
        </w:rPr>
      </w:pPr>
      <w:r>
        <w:rPr>
          <w:rFonts w:hint="eastAsia" w:ascii="仿宋" w:hAnsi="仿宋" w:eastAsia="仿宋" w:cs="仿宋"/>
          <w:b/>
          <w:sz w:val="24"/>
          <w:szCs w:val="24"/>
        </w:rPr>
        <w:t>表</w:t>
      </w:r>
      <w:r>
        <w:rPr>
          <w:rFonts w:hint="eastAsia" w:ascii="仿宋" w:hAnsi="仿宋" w:eastAsia="仿宋" w:cs="仿宋"/>
          <w:b/>
          <w:sz w:val="24"/>
          <w:szCs w:val="24"/>
          <w:lang w:val="en-US" w:eastAsia="zh-CN"/>
        </w:rPr>
        <w:t>8</w:t>
      </w:r>
      <w:r>
        <w:rPr>
          <w:rFonts w:hint="eastAsia" w:ascii="仿宋" w:hAnsi="仿宋" w:eastAsia="仿宋" w:cs="仿宋"/>
          <w:b/>
          <w:sz w:val="24"/>
          <w:szCs w:val="24"/>
        </w:rPr>
        <w:t>-1 本公司配备的安全防护设备设施情况</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50"/>
        <w:gridCol w:w="3343"/>
        <w:gridCol w:w="2403"/>
        <w:gridCol w:w="181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序号</w:t>
            </w:r>
          </w:p>
        </w:tc>
        <w:tc>
          <w:tcPr>
            <w:tcW w:w="3451"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名称</w:t>
            </w:r>
          </w:p>
        </w:tc>
        <w:tc>
          <w:tcPr>
            <w:tcW w:w="2478"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规格型号</w:t>
            </w:r>
          </w:p>
        </w:tc>
        <w:tc>
          <w:tcPr>
            <w:tcW w:w="1866"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数量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1</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防化服</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2</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安全帽</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3</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防护眼镜</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4</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防噪耳罩</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5</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防毒面具</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6</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口罩</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7</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阻油防护衣</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8</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分体雨衣</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25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9</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lang w:eastAsia="zh-CN"/>
              </w:rPr>
            </w:pPr>
            <w:r>
              <w:rPr>
                <w:rFonts w:hint="eastAsia" w:ascii="仿宋" w:hAnsi="仿宋" w:eastAsia="仿宋" w:cs="仿宋"/>
                <w:sz w:val="24"/>
                <w:szCs w:val="24"/>
                <w:lang w:eastAsia="zh-CN"/>
              </w:rPr>
              <w:t>救生衣</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70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10</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防油手套</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rPr>
              <w:t>1</w:t>
            </w:r>
            <w:r>
              <w:rPr>
                <w:rFonts w:hint="eastAsia" w:ascii="仿宋" w:hAnsi="仿宋" w:eastAsia="仿宋" w:cs="仿宋"/>
                <w:sz w:val="24"/>
                <w:szCs w:val="24"/>
                <w:lang w:val="en-US" w:eastAsia="zh-CN"/>
              </w:rPr>
              <w:t>1</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耐油防护鞋</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rPr>
              <w:t>1</w:t>
            </w:r>
            <w:r>
              <w:rPr>
                <w:rFonts w:hint="eastAsia" w:ascii="仿宋" w:hAnsi="仿宋" w:eastAsia="仿宋" w:cs="仿宋"/>
                <w:sz w:val="24"/>
                <w:szCs w:val="24"/>
                <w:lang w:val="en-US" w:eastAsia="zh-CN"/>
              </w:rPr>
              <w:t>2</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防滑水靴</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13</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lang w:eastAsia="zh-CN"/>
              </w:rPr>
            </w:pPr>
            <w:r>
              <w:rPr>
                <w:rFonts w:hint="eastAsia" w:ascii="仿宋" w:hAnsi="仿宋" w:eastAsia="仿宋" w:cs="仿宋"/>
                <w:sz w:val="24"/>
                <w:szCs w:val="24"/>
                <w:lang w:eastAsia="zh-CN"/>
              </w:rPr>
              <w:t>医用急救箱</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rPr>
              <w:t>1</w:t>
            </w:r>
            <w:r>
              <w:rPr>
                <w:rFonts w:hint="eastAsia" w:ascii="仿宋" w:hAnsi="仿宋" w:eastAsia="仿宋" w:cs="仿宋"/>
                <w:sz w:val="24"/>
                <w:szCs w:val="24"/>
                <w:lang w:val="en-US" w:eastAsia="zh-CN"/>
              </w:rPr>
              <w:t>4</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正压式呼吸器</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2</w:t>
            </w:r>
          </w:p>
        </w:tc>
      </w:tr>
    </w:tbl>
    <w:p>
      <w:pPr>
        <w:spacing w:line="360" w:lineRule="auto"/>
        <w:jc w:val="both"/>
        <w:rPr>
          <w:rFonts w:hint="eastAsia" w:ascii="仿宋" w:hAnsi="仿宋" w:eastAsia="仿宋" w:cs="仿宋"/>
          <w:sz w:val="28"/>
          <w:szCs w:val="28"/>
          <w:lang w:val="en-US"/>
        </w:rPr>
      </w:pPr>
    </w:p>
    <w:p>
      <w:pPr>
        <w:pStyle w:val="25"/>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562" w:firstLineChars="200"/>
        <w:jc w:val="both"/>
        <w:textAlignment w:val="auto"/>
        <w:outlineLvl w:val="1"/>
        <w:rPr>
          <w:rFonts w:hint="eastAsia" w:ascii="仿宋" w:hAnsi="仿宋" w:eastAsia="仿宋" w:cs="仿宋"/>
          <w:b/>
          <w:bCs/>
          <w:iCs/>
          <w:sz w:val="28"/>
          <w:szCs w:val="28"/>
        </w:rPr>
      </w:pPr>
      <w:bookmarkStart w:id="98" w:name="_Toc32365"/>
      <w:bookmarkStart w:id="99" w:name="_Toc3798"/>
      <w:bookmarkStart w:id="100" w:name="_Toc3591"/>
      <w:r>
        <w:rPr>
          <w:rFonts w:hint="eastAsia" w:ascii="仿宋" w:hAnsi="仿宋" w:eastAsia="仿宋" w:cs="仿宋"/>
          <w:b/>
          <w:bCs/>
          <w:iCs/>
          <w:sz w:val="28"/>
          <w:szCs w:val="28"/>
          <w:lang w:val="en-US" w:eastAsia="zh-CN"/>
        </w:rPr>
        <w:t>8</w:t>
      </w:r>
      <w:r>
        <w:rPr>
          <w:rFonts w:hint="eastAsia" w:ascii="仿宋" w:hAnsi="仿宋" w:eastAsia="仿宋" w:cs="仿宋"/>
          <w:b/>
          <w:bCs/>
          <w:iCs/>
          <w:sz w:val="28"/>
          <w:szCs w:val="28"/>
        </w:rPr>
        <w:t>.2</w:t>
      </w:r>
      <w:r>
        <w:rPr>
          <w:rFonts w:hint="eastAsia" w:ascii="仿宋" w:hAnsi="仿宋" w:eastAsia="仿宋" w:cs="仿宋"/>
          <w:b/>
          <w:bCs/>
          <w:iCs/>
          <w:sz w:val="28"/>
          <w:szCs w:val="28"/>
          <w:lang w:val="en-US" w:eastAsia="zh-CN"/>
        </w:rPr>
        <w:t xml:space="preserve"> </w:t>
      </w:r>
      <w:r>
        <w:rPr>
          <w:rFonts w:hint="eastAsia" w:ascii="仿宋" w:hAnsi="仿宋" w:eastAsia="仿宋" w:cs="仿宋"/>
          <w:b/>
          <w:bCs/>
          <w:iCs/>
          <w:sz w:val="28"/>
          <w:szCs w:val="28"/>
          <w:lang w:eastAsia="zh-CN"/>
        </w:rPr>
        <w:t>作员人员个人防护及作业安全</w:t>
      </w:r>
      <w:r>
        <w:rPr>
          <w:rFonts w:hint="eastAsia" w:ascii="仿宋" w:hAnsi="仿宋" w:eastAsia="仿宋" w:cs="仿宋"/>
          <w:b/>
          <w:bCs/>
          <w:iCs/>
          <w:sz w:val="28"/>
          <w:szCs w:val="28"/>
        </w:rPr>
        <w:t>方案</w:t>
      </w:r>
      <w:bookmarkEnd w:id="98"/>
      <w:bookmarkEnd w:id="99"/>
      <w:bookmarkEnd w:id="100"/>
    </w:p>
    <w:p>
      <w:pPr>
        <w:widowControl w:val="0"/>
        <w:numPr>
          <w:ilvl w:val="0"/>
          <w:numId w:val="0"/>
        </w:numPr>
        <w:tabs>
          <w:tab w:val="left" w:pos="1260"/>
        </w:tabs>
        <w:spacing w:line="360" w:lineRule="auto"/>
        <w:ind w:right="0" w:rightChars="0" w:firstLine="562" w:firstLineChars="200"/>
        <w:jc w:val="both"/>
        <w:rPr>
          <w:rFonts w:hint="eastAsia" w:ascii="仿宋" w:hAnsi="仿宋" w:eastAsia="仿宋" w:cs="仿宋"/>
          <w:sz w:val="28"/>
          <w:szCs w:val="28"/>
        </w:rPr>
      </w:pPr>
      <w:r>
        <w:rPr>
          <w:rFonts w:hint="eastAsia" w:ascii="仿宋" w:hAnsi="仿宋" w:eastAsia="仿宋" w:cs="仿宋"/>
          <w:b/>
          <w:bCs/>
          <w:sz w:val="28"/>
          <w:szCs w:val="28"/>
          <w:lang w:val="en-US" w:eastAsia="zh-CN"/>
        </w:rPr>
        <w:t xml:space="preserve">8.2.1 </w:t>
      </w:r>
      <w:r>
        <w:rPr>
          <w:rFonts w:hint="eastAsia" w:ascii="仿宋" w:hAnsi="仿宋" w:eastAsia="仿宋" w:cs="仿宋"/>
          <w:b/>
          <w:bCs/>
          <w:sz w:val="28"/>
          <w:szCs w:val="28"/>
        </w:rPr>
        <w:t xml:space="preserve">人员的安全防护方案 </w:t>
      </w:r>
      <w:r>
        <w:rPr>
          <w:rFonts w:hint="eastAsia" w:ascii="仿宋" w:hAnsi="仿宋" w:eastAsia="仿宋" w:cs="仿宋"/>
          <w:sz w:val="28"/>
          <w:szCs w:val="28"/>
        </w:rPr>
        <w:t xml:space="preserve"> </w:t>
      </w:r>
    </w:p>
    <w:p>
      <w:pPr>
        <w:spacing w:line="360" w:lineRule="auto"/>
        <w:ind w:firstLine="700" w:firstLineChars="250"/>
        <w:jc w:val="both"/>
        <w:rPr>
          <w:rFonts w:hint="eastAsia" w:ascii="仿宋" w:hAnsi="仿宋" w:eastAsia="仿宋" w:cs="仿宋"/>
          <w:sz w:val="28"/>
          <w:szCs w:val="28"/>
        </w:rPr>
      </w:pPr>
      <w:r>
        <w:rPr>
          <w:rFonts w:hint="eastAsia" w:ascii="仿宋" w:hAnsi="仿宋" w:eastAsia="仿宋" w:cs="仿宋"/>
          <w:sz w:val="28"/>
          <w:szCs w:val="28"/>
        </w:rPr>
        <w:t>对于溢油应急清污作业人员来说，在清污作业的过程中，应做到以下几个方面的防护：</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1</w:t>
      </w:r>
      <w:r>
        <w:rPr>
          <w:rFonts w:hint="eastAsia" w:ascii="仿宋" w:hAnsi="仿宋" w:eastAsia="仿宋" w:cs="仿宋"/>
          <w:sz w:val="28"/>
          <w:szCs w:val="28"/>
          <w:lang w:eastAsia="zh-CN"/>
        </w:rPr>
        <w:t>）</w:t>
      </w:r>
      <w:r>
        <w:rPr>
          <w:rFonts w:hint="eastAsia" w:ascii="仿宋" w:hAnsi="仿宋" w:eastAsia="仿宋" w:cs="仿宋"/>
          <w:sz w:val="28"/>
          <w:szCs w:val="28"/>
        </w:rPr>
        <w:t>听力保护，长时间在产生噪音的机器旁工作应戴耳朵保护装置。</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2</w:t>
      </w:r>
      <w:r>
        <w:rPr>
          <w:rFonts w:hint="eastAsia" w:ascii="仿宋" w:hAnsi="仿宋" w:eastAsia="仿宋" w:cs="仿宋"/>
          <w:sz w:val="28"/>
          <w:szCs w:val="28"/>
          <w:lang w:eastAsia="zh-CN"/>
        </w:rPr>
        <w:t>）</w:t>
      </w:r>
      <w:r>
        <w:rPr>
          <w:rFonts w:hint="eastAsia" w:ascii="仿宋" w:hAnsi="仿宋" w:eastAsia="仿宋" w:cs="仿宋"/>
          <w:sz w:val="28"/>
          <w:szCs w:val="28"/>
        </w:rPr>
        <w:t>头部保护，在清污的全过程中，应戴好安全帽，以防高处                坠落物和撞到硬物上，造成头部的伤害。</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3</w:t>
      </w:r>
      <w:r>
        <w:rPr>
          <w:rFonts w:hint="eastAsia" w:ascii="仿宋" w:hAnsi="仿宋" w:eastAsia="仿宋" w:cs="仿宋"/>
          <w:sz w:val="28"/>
          <w:szCs w:val="28"/>
          <w:lang w:eastAsia="zh-CN"/>
        </w:rPr>
        <w:t>）</w:t>
      </w:r>
      <w:r>
        <w:rPr>
          <w:rFonts w:hint="eastAsia" w:ascii="仿宋" w:hAnsi="仿宋" w:eastAsia="仿宋" w:cs="仿宋"/>
          <w:sz w:val="28"/>
          <w:szCs w:val="28"/>
        </w:rPr>
        <w:t>眼睛保护， 清污作业人员，应根据作业现场的情况，配戴合适的防护眼睛，防止对眼睛造成的伤害。</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4</w:t>
      </w:r>
      <w:r>
        <w:rPr>
          <w:rFonts w:hint="eastAsia" w:ascii="仿宋" w:hAnsi="仿宋" w:eastAsia="仿宋" w:cs="仿宋"/>
          <w:sz w:val="28"/>
          <w:szCs w:val="28"/>
          <w:lang w:eastAsia="zh-CN"/>
        </w:rPr>
        <w:t>）</w:t>
      </w:r>
      <w:r>
        <w:rPr>
          <w:rFonts w:hint="eastAsia" w:ascii="仿宋" w:hAnsi="仿宋" w:eastAsia="仿宋" w:cs="仿宋"/>
          <w:sz w:val="28"/>
          <w:szCs w:val="28"/>
        </w:rPr>
        <w:t>配戴呼吸器和口罩，防止油蒸气或毒气的吸入。</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5</w:t>
      </w:r>
      <w:r>
        <w:rPr>
          <w:rFonts w:hint="eastAsia" w:ascii="仿宋" w:hAnsi="仿宋" w:eastAsia="仿宋" w:cs="仿宋"/>
          <w:sz w:val="28"/>
          <w:szCs w:val="28"/>
          <w:lang w:eastAsia="zh-CN"/>
        </w:rPr>
        <w:t>）</w:t>
      </w:r>
      <w:r>
        <w:rPr>
          <w:rFonts w:hint="eastAsia" w:ascii="仿宋" w:hAnsi="仿宋" w:eastAsia="仿宋" w:cs="仿宋"/>
          <w:sz w:val="28"/>
          <w:szCs w:val="28"/>
        </w:rPr>
        <w:t>配戴防油手套和阻油防护服，防止污油的接触损害，减少对皮肤的暴露和伤害。</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6</w:t>
      </w:r>
      <w:r>
        <w:rPr>
          <w:rFonts w:hint="eastAsia" w:ascii="仿宋" w:hAnsi="仿宋" w:eastAsia="仿宋" w:cs="仿宋"/>
          <w:sz w:val="28"/>
          <w:szCs w:val="28"/>
          <w:lang w:eastAsia="zh-CN"/>
        </w:rPr>
        <w:t>）</w:t>
      </w:r>
      <w:r>
        <w:rPr>
          <w:rFonts w:hint="eastAsia" w:ascii="仿宋" w:hAnsi="仿宋" w:eastAsia="仿宋" w:cs="仿宋"/>
          <w:sz w:val="28"/>
          <w:szCs w:val="28"/>
        </w:rPr>
        <w:t>配穿防滑、耐油，防腐的保护靴。</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7</w:t>
      </w:r>
      <w:r>
        <w:rPr>
          <w:rFonts w:hint="eastAsia" w:ascii="仿宋" w:hAnsi="仿宋" w:eastAsia="仿宋" w:cs="仿宋"/>
          <w:sz w:val="28"/>
          <w:szCs w:val="28"/>
          <w:lang w:eastAsia="zh-CN"/>
        </w:rPr>
        <w:t>）</w:t>
      </w:r>
      <w:r>
        <w:rPr>
          <w:rFonts w:hint="eastAsia" w:ascii="仿宋" w:hAnsi="仿宋" w:eastAsia="仿宋" w:cs="仿宋"/>
          <w:sz w:val="28"/>
          <w:szCs w:val="28"/>
        </w:rPr>
        <w:t>在近海、近岸、码头或在船上作业，要穿戴救生衣。</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8</w:t>
      </w:r>
      <w:r>
        <w:rPr>
          <w:rFonts w:hint="eastAsia" w:ascii="仿宋" w:hAnsi="仿宋" w:eastAsia="仿宋" w:cs="仿宋"/>
          <w:sz w:val="28"/>
          <w:szCs w:val="28"/>
          <w:lang w:eastAsia="zh-CN"/>
        </w:rPr>
        <w:t>）</w:t>
      </w:r>
      <w:r>
        <w:rPr>
          <w:rFonts w:hint="eastAsia" w:ascii="仿宋" w:hAnsi="仿宋" w:eastAsia="仿宋" w:cs="仿宋"/>
          <w:sz w:val="28"/>
          <w:szCs w:val="28"/>
        </w:rPr>
        <w:t>在寒冷恶劣的天气下，要穿戴保暖服。</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8.2.2 </w:t>
      </w:r>
      <w:r>
        <w:rPr>
          <w:rFonts w:hint="eastAsia" w:ascii="仿宋" w:hAnsi="仿宋" w:eastAsia="仿宋" w:cs="仿宋"/>
          <w:b/>
          <w:bCs/>
          <w:sz w:val="28"/>
          <w:szCs w:val="28"/>
        </w:rPr>
        <w:t>现场清污作业安全方案</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在清污现场，溢油对人体的危害途径有油蒸气的吸入、皮肤接触和摄取。为了避免清污人员可能发生的中毒，应采取以下作业方案：</w:t>
      </w:r>
    </w:p>
    <w:p>
      <w:pPr>
        <w:widowControl w:val="0"/>
        <w:numPr>
          <w:ilvl w:val="0"/>
          <w:numId w:val="0"/>
        </w:numPr>
        <w:tabs>
          <w:tab w:val="left" w:pos="709"/>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1</w:t>
      </w:r>
      <w:r>
        <w:rPr>
          <w:rFonts w:hint="eastAsia" w:ascii="仿宋" w:hAnsi="仿宋" w:eastAsia="仿宋" w:cs="仿宋"/>
          <w:sz w:val="28"/>
          <w:szCs w:val="28"/>
          <w:lang w:eastAsia="zh-CN"/>
        </w:rPr>
        <w:t>）</w:t>
      </w:r>
      <w:r>
        <w:rPr>
          <w:rFonts w:hint="eastAsia" w:ascii="仿宋" w:hAnsi="仿宋" w:eastAsia="仿宋" w:cs="仿宋"/>
          <w:sz w:val="28"/>
          <w:szCs w:val="28"/>
        </w:rPr>
        <w:t>在清污作业时，作业人员应尽量在上风处操作回收溢油，以减少对油蒸气的吸入。如果存在溢油蒸气的吸入可能，清污人员就必须配戴有过滤功能的呼吸器，来阻止油气的吸入。在作业现场严禁吸烟。</w:t>
      </w:r>
    </w:p>
    <w:p>
      <w:pPr>
        <w:widowControl w:val="0"/>
        <w:numPr>
          <w:ilvl w:val="0"/>
          <w:numId w:val="0"/>
        </w:numPr>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2</w:t>
      </w:r>
      <w:r>
        <w:rPr>
          <w:rFonts w:hint="eastAsia" w:ascii="仿宋" w:hAnsi="仿宋" w:eastAsia="仿宋" w:cs="仿宋"/>
          <w:sz w:val="28"/>
          <w:szCs w:val="28"/>
          <w:lang w:eastAsia="zh-CN"/>
        </w:rPr>
        <w:t>）</w:t>
      </w:r>
      <w:r>
        <w:rPr>
          <w:rFonts w:hint="eastAsia" w:ascii="仿宋" w:hAnsi="仿宋" w:eastAsia="仿宋" w:cs="仿宋"/>
          <w:sz w:val="28"/>
          <w:szCs w:val="28"/>
        </w:rPr>
        <w:t>在码头、内锚地附近等油蒸气浓度较高的区域作业时，要待油蒸气彻底消散后，再进入现场进行溢油清污作业。</w:t>
      </w:r>
    </w:p>
    <w:p>
      <w:pPr>
        <w:widowControl w:val="0"/>
        <w:numPr>
          <w:ilvl w:val="0"/>
          <w:numId w:val="0"/>
        </w:numPr>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3</w:t>
      </w:r>
      <w:r>
        <w:rPr>
          <w:rFonts w:hint="eastAsia" w:ascii="仿宋" w:hAnsi="仿宋" w:eastAsia="仿宋" w:cs="仿宋"/>
          <w:sz w:val="28"/>
          <w:szCs w:val="28"/>
          <w:lang w:eastAsia="zh-CN"/>
        </w:rPr>
        <w:t>）</w:t>
      </w:r>
      <w:r>
        <w:rPr>
          <w:rFonts w:hint="eastAsia" w:ascii="仿宋" w:hAnsi="仿宋" w:eastAsia="仿宋" w:cs="仿宋"/>
          <w:sz w:val="28"/>
          <w:szCs w:val="28"/>
        </w:rPr>
        <w:t>如果皮肤沾上油污，要尽快擦掉，用肥皂或清洗液清洗，不能用汽油。</w:t>
      </w:r>
    </w:p>
    <w:p>
      <w:pPr>
        <w:widowControl w:val="0"/>
        <w:numPr>
          <w:ilvl w:val="0"/>
          <w:numId w:val="0"/>
        </w:numPr>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4</w:t>
      </w:r>
      <w:r>
        <w:rPr>
          <w:rFonts w:hint="eastAsia" w:ascii="仿宋" w:hAnsi="仿宋" w:eastAsia="仿宋" w:cs="仿宋"/>
          <w:sz w:val="28"/>
          <w:szCs w:val="28"/>
          <w:lang w:eastAsia="zh-CN"/>
        </w:rPr>
        <w:t>）</w:t>
      </w:r>
      <w:r>
        <w:rPr>
          <w:rFonts w:hint="eastAsia" w:ascii="仿宋" w:hAnsi="仿宋" w:eastAsia="仿宋" w:cs="仿宋"/>
          <w:sz w:val="28"/>
          <w:szCs w:val="28"/>
        </w:rPr>
        <w:t>在处理毒性可能增大的风化油时，清污人员要采取特殊的措施加以预防。</w:t>
      </w:r>
    </w:p>
    <w:p>
      <w:pPr>
        <w:widowControl w:val="0"/>
        <w:numPr>
          <w:ilvl w:val="0"/>
          <w:numId w:val="0"/>
        </w:numPr>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5</w:t>
      </w:r>
      <w:r>
        <w:rPr>
          <w:rFonts w:hint="eastAsia" w:ascii="仿宋" w:hAnsi="仿宋" w:eastAsia="仿宋" w:cs="仿宋"/>
          <w:sz w:val="28"/>
          <w:szCs w:val="28"/>
          <w:lang w:eastAsia="zh-CN"/>
        </w:rPr>
        <w:t>）</w:t>
      </w:r>
      <w:r>
        <w:rPr>
          <w:rFonts w:hint="eastAsia" w:ascii="仿宋" w:hAnsi="仿宋" w:eastAsia="仿宋" w:cs="仿宋"/>
          <w:sz w:val="28"/>
          <w:szCs w:val="28"/>
        </w:rPr>
        <w:t>在使用消油剂等化学制剂进行溢油处置时，清污人员要采取保护措施，减少和避免皮肤接触和油蒸气的吸入。同时严格按照消油剂的技术标准要求和使用说明进行操作。</w:t>
      </w:r>
    </w:p>
    <w:p>
      <w:pPr>
        <w:widowControl w:val="0"/>
        <w:numPr>
          <w:ilvl w:val="0"/>
          <w:numId w:val="0"/>
        </w:numPr>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6</w:t>
      </w:r>
      <w:r>
        <w:rPr>
          <w:rFonts w:hint="eastAsia" w:ascii="仿宋" w:hAnsi="仿宋" w:eastAsia="仿宋" w:cs="仿宋"/>
          <w:sz w:val="28"/>
          <w:szCs w:val="28"/>
          <w:lang w:eastAsia="zh-CN"/>
        </w:rPr>
        <w:t>）</w:t>
      </w:r>
      <w:r>
        <w:rPr>
          <w:rFonts w:hint="eastAsia" w:ascii="仿宋" w:hAnsi="仿宋" w:eastAsia="仿宋" w:cs="仿宋"/>
          <w:sz w:val="28"/>
          <w:szCs w:val="28"/>
        </w:rPr>
        <w:t>溢油清污作业期间，按要求穿戴防护服，保证对人体的防护。</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8.2.3 </w:t>
      </w:r>
      <w:r>
        <w:rPr>
          <w:rFonts w:hint="eastAsia" w:ascii="仿宋" w:hAnsi="仿宋" w:eastAsia="仿宋" w:cs="仿宋"/>
          <w:b/>
          <w:bCs/>
          <w:sz w:val="28"/>
          <w:szCs w:val="28"/>
        </w:rPr>
        <w:t>防火防爆作业方案</w:t>
      </w:r>
    </w:p>
    <w:p>
      <w:pPr>
        <w:spacing w:line="360" w:lineRule="auto"/>
        <w:ind w:firstLine="560" w:firstLineChars="200"/>
        <w:jc w:val="both"/>
        <w:rPr>
          <w:rFonts w:hint="eastAsia"/>
        </w:rPr>
      </w:pPr>
      <w:r>
        <w:rPr>
          <w:rFonts w:hint="eastAsia" w:ascii="仿宋" w:hAnsi="仿宋" w:eastAsia="仿宋" w:cs="仿宋"/>
          <w:sz w:val="28"/>
          <w:szCs w:val="28"/>
        </w:rPr>
        <w:t>在原油、汽油或其它轻质燃料油溢出的初级阶段（未风化）。由于其轻组分的蒸发，在油膜附近存在着易燃气体，引发火灾和爆炸的危险性很大。进行此类的溢油应急清除作业前，要充分了解掌握溢油的相关参数，对火灾和爆炸的潜在危险进行预防。在确认我火灾和爆炸的危险后，方可进行清除作业。作业时，要在溢油区域的上风进行。</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污染清除作业过程中的安全方案</w:t>
      </w:r>
      <w:r>
        <w:rPr>
          <w:rFonts w:hint="eastAsia" w:ascii="仿宋" w:hAnsi="仿宋" w:eastAsia="仿宋" w:cs="仿宋"/>
          <w:sz w:val="28"/>
          <w:szCs w:val="28"/>
          <w:lang w:eastAsia="zh-CN"/>
        </w:rPr>
        <w:t>、措施及对策</w:t>
      </w:r>
      <w:r>
        <w:rPr>
          <w:rFonts w:hint="eastAsia" w:ascii="仿宋" w:hAnsi="仿宋" w:eastAsia="仿宋" w:cs="仿宋"/>
          <w:sz w:val="28"/>
          <w:szCs w:val="28"/>
        </w:rPr>
        <w:t>见表</w:t>
      </w:r>
      <w:r>
        <w:rPr>
          <w:rFonts w:hint="eastAsia" w:ascii="仿宋" w:hAnsi="仿宋" w:eastAsia="仿宋" w:cs="仿宋"/>
          <w:sz w:val="28"/>
          <w:szCs w:val="28"/>
          <w:lang w:val="en-US" w:eastAsia="zh-CN"/>
        </w:rPr>
        <w:t>8</w:t>
      </w:r>
      <w:r>
        <w:rPr>
          <w:rFonts w:hint="eastAsia" w:ascii="仿宋" w:hAnsi="仿宋" w:eastAsia="仿宋" w:cs="仿宋"/>
          <w:sz w:val="28"/>
          <w:szCs w:val="28"/>
        </w:rPr>
        <w:t>-2</w:t>
      </w: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8-3.1、8-3.2</w:t>
      </w:r>
      <w:r>
        <w:rPr>
          <w:rFonts w:hint="eastAsia" w:ascii="仿宋" w:hAnsi="仿宋" w:eastAsia="仿宋" w:cs="仿宋"/>
          <w:sz w:val="28"/>
          <w:szCs w:val="28"/>
        </w:rPr>
        <w:t>。</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8</w:t>
      </w:r>
      <w:r>
        <w:rPr>
          <w:rFonts w:hint="eastAsia" w:ascii="仿宋" w:hAnsi="仿宋" w:eastAsia="仿宋" w:cs="仿宋"/>
          <w:b/>
          <w:sz w:val="28"/>
          <w:szCs w:val="28"/>
        </w:rPr>
        <w:t>-2  污染清除作业过程中的安全方案</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944"/>
        <w:gridCol w:w="606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tblHeader/>
          <w:jc w:val="center"/>
        </w:trPr>
        <w:tc>
          <w:tcPr>
            <w:tcW w:w="2943"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事故类别</w:t>
            </w:r>
          </w:p>
        </w:tc>
        <w:tc>
          <w:tcPr>
            <w:tcW w:w="6060"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安全方案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943" w:type="dxa"/>
            <w:tcBorders>
              <w:tl2br w:val="nil"/>
              <w:tr2bl w:val="nil"/>
            </w:tcBorders>
            <w:noWrap w:val="0"/>
            <w:vAlign w:val="center"/>
          </w:tcPr>
          <w:p>
            <w:pPr>
              <w:widowControl w:val="0"/>
              <w:spacing w:line="400" w:lineRule="exact"/>
              <w:jc w:val="center"/>
              <w:rPr>
                <w:rFonts w:hint="eastAsia" w:ascii="仿宋" w:hAnsi="仿宋" w:eastAsia="仿宋" w:cs="仿宋"/>
                <w:sz w:val="24"/>
                <w:szCs w:val="24"/>
              </w:rPr>
            </w:pPr>
            <w:r>
              <w:rPr>
                <w:rFonts w:hint="eastAsia" w:ascii="仿宋" w:hAnsi="仿宋" w:eastAsia="仿宋" w:cs="仿宋"/>
                <w:sz w:val="24"/>
                <w:szCs w:val="24"/>
              </w:rPr>
              <w:t>石油及其制品泄漏事故</w:t>
            </w:r>
          </w:p>
        </w:tc>
        <w:tc>
          <w:tcPr>
            <w:tcW w:w="6060" w:type="dxa"/>
            <w:tcBorders>
              <w:tl2br w:val="nil"/>
              <w:tr2bl w:val="nil"/>
            </w:tcBorders>
            <w:noWrap w:val="0"/>
            <w:vAlign w:val="top"/>
          </w:tcPr>
          <w:p>
            <w:pPr>
              <w:widowControl w:val="0"/>
              <w:numPr>
                <w:ilvl w:val="0"/>
                <w:numId w:val="6"/>
              </w:numPr>
              <w:tabs>
                <w:tab w:val="left" w:pos="318"/>
              </w:tabs>
              <w:spacing w:line="400" w:lineRule="exact"/>
              <w:ind w:hanging="952"/>
              <w:rPr>
                <w:rFonts w:hint="eastAsia" w:ascii="仿宋" w:hAnsi="仿宋" w:eastAsia="仿宋" w:cs="仿宋"/>
                <w:sz w:val="24"/>
                <w:szCs w:val="24"/>
              </w:rPr>
            </w:pPr>
            <w:r>
              <w:rPr>
                <w:rFonts w:hint="eastAsia" w:ascii="仿宋" w:hAnsi="仿宋" w:eastAsia="仿宋" w:cs="仿宋"/>
                <w:sz w:val="24"/>
                <w:szCs w:val="24"/>
              </w:rPr>
              <w:t>不要回收容易被点燃的挥发性液体</w:t>
            </w:r>
          </w:p>
          <w:p>
            <w:pPr>
              <w:widowControl w:val="0"/>
              <w:numPr>
                <w:ilvl w:val="0"/>
                <w:numId w:val="6"/>
              </w:numPr>
              <w:tabs>
                <w:tab w:val="left" w:pos="318"/>
              </w:tabs>
              <w:spacing w:line="400" w:lineRule="exact"/>
              <w:ind w:hanging="952"/>
              <w:rPr>
                <w:rFonts w:hint="eastAsia" w:ascii="仿宋" w:hAnsi="仿宋" w:eastAsia="仿宋" w:cs="仿宋"/>
                <w:sz w:val="24"/>
                <w:szCs w:val="24"/>
              </w:rPr>
            </w:pPr>
            <w:r>
              <w:rPr>
                <w:rFonts w:hint="eastAsia" w:ascii="仿宋" w:hAnsi="仿宋" w:eastAsia="仿宋" w:cs="仿宋"/>
                <w:sz w:val="24"/>
                <w:szCs w:val="24"/>
              </w:rPr>
              <w:t>穿上防护衣、防护鞋、戴上防护眼镜和防护手套</w:t>
            </w:r>
          </w:p>
          <w:p>
            <w:pPr>
              <w:widowControl w:val="0"/>
              <w:numPr>
                <w:ilvl w:val="0"/>
                <w:numId w:val="6"/>
              </w:numPr>
              <w:tabs>
                <w:tab w:val="left" w:pos="318"/>
              </w:tabs>
              <w:spacing w:line="400" w:lineRule="exact"/>
              <w:ind w:hanging="952"/>
              <w:rPr>
                <w:rFonts w:hint="eastAsia" w:ascii="仿宋" w:hAnsi="仿宋" w:eastAsia="仿宋" w:cs="仿宋"/>
                <w:sz w:val="24"/>
                <w:szCs w:val="24"/>
              </w:rPr>
            </w:pPr>
            <w:r>
              <w:rPr>
                <w:rFonts w:hint="eastAsia" w:ascii="仿宋" w:hAnsi="仿宋" w:eastAsia="仿宋" w:cs="仿宋"/>
                <w:sz w:val="24"/>
                <w:szCs w:val="24"/>
              </w:rPr>
              <w:t>使用喷洒水冷却存储舱和促进蒸气扩散</w:t>
            </w:r>
          </w:p>
          <w:p>
            <w:pPr>
              <w:widowControl w:val="0"/>
              <w:numPr>
                <w:ilvl w:val="0"/>
                <w:numId w:val="6"/>
              </w:numPr>
              <w:tabs>
                <w:tab w:val="left" w:pos="318"/>
              </w:tabs>
              <w:spacing w:line="400" w:lineRule="exact"/>
              <w:ind w:hanging="952"/>
              <w:rPr>
                <w:rFonts w:hint="eastAsia" w:ascii="仿宋" w:hAnsi="仿宋" w:eastAsia="仿宋" w:cs="仿宋"/>
                <w:sz w:val="24"/>
                <w:szCs w:val="24"/>
              </w:rPr>
            </w:pPr>
            <w:r>
              <w:rPr>
                <w:rFonts w:hint="eastAsia" w:ascii="仿宋" w:hAnsi="仿宋" w:eastAsia="仿宋" w:cs="仿宋"/>
                <w:sz w:val="24"/>
                <w:szCs w:val="24"/>
              </w:rPr>
              <w:t>详细注意事项见表7</w:t>
            </w:r>
            <w:r>
              <w:rPr>
                <w:rFonts w:hint="eastAsia" w:ascii="仿宋" w:hAnsi="仿宋" w:eastAsia="仿宋" w:cs="仿宋"/>
                <w:sz w:val="24"/>
                <w:szCs w:val="24"/>
                <w:lang w:val="en-US" w:eastAsia="zh-CN"/>
              </w:rPr>
              <w:t>-3</w:t>
            </w:r>
            <w:r>
              <w:rPr>
                <w:rFonts w:hint="eastAsia" w:ascii="仿宋" w:hAnsi="仿宋" w:eastAsia="仿宋" w:cs="仿宋"/>
                <w:sz w:val="24"/>
                <w:szCs w:val="24"/>
              </w:rPr>
              <w:t>—典型油品安全措施及应急对策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943" w:type="dxa"/>
            <w:tcBorders>
              <w:tl2br w:val="nil"/>
              <w:tr2bl w:val="nil"/>
            </w:tcBorders>
            <w:noWrap w:val="0"/>
            <w:vAlign w:val="center"/>
          </w:tcPr>
          <w:p>
            <w:pPr>
              <w:widowControl w:val="0"/>
              <w:spacing w:line="400" w:lineRule="exact"/>
              <w:jc w:val="center"/>
              <w:rPr>
                <w:rFonts w:hint="eastAsia" w:ascii="仿宋" w:hAnsi="仿宋" w:eastAsia="仿宋" w:cs="仿宋"/>
                <w:sz w:val="24"/>
                <w:szCs w:val="24"/>
              </w:rPr>
            </w:pPr>
            <w:r>
              <w:rPr>
                <w:rFonts w:hint="eastAsia" w:ascii="仿宋" w:hAnsi="仿宋" w:eastAsia="仿宋" w:cs="仿宋"/>
                <w:sz w:val="24"/>
                <w:szCs w:val="24"/>
              </w:rPr>
              <w:t>船舶事故</w:t>
            </w:r>
          </w:p>
        </w:tc>
        <w:tc>
          <w:tcPr>
            <w:tcW w:w="6060" w:type="dxa"/>
            <w:tcBorders>
              <w:tl2br w:val="nil"/>
              <w:tr2bl w:val="nil"/>
            </w:tcBorders>
            <w:noWrap w:val="0"/>
            <w:vAlign w:val="top"/>
          </w:tcPr>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特别注意可能发生的火灾、爆炸以及有毒物质泄漏</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确保拖绳方便解开，以便能快速离开</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不要单独行动或做超出个人能力的事情</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穿上防护衣、防护鞋、戴上防护眼镜和防护手套</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如果船舶着火，尽量从着火船舶的上风向靠近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943" w:type="dxa"/>
            <w:tcBorders>
              <w:tl2br w:val="nil"/>
              <w:tr2bl w:val="nil"/>
            </w:tcBorders>
            <w:noWrap w:val="0"/>
            <w:vAlign w:val="center"/>
          </w:tcPr>
          <w:p>
            <w:pPr>
              <w:widowControl w:val="0"/>
              <w:spacing w:line="400" w:lineRule="exact"/>
              <w:jc w:val="center"/>
              <w:rPr>
                <w:rFonts w:hint="eastAsia" w:ascii="仿宋" w:hAnsi="仿宋" w:eastAsia="仿宋" w:cs="仿宋"/>
                <w:sz w:val="24"/>
                <w:szCs w:val="24"/>
              </w:rPr>
            </w:pPr>
            <w:r>
              <w:rPr>
                <w:rFonts w:hint="eastAsia" w:ascii="仿宋" w:hAnsi="仿宋" w:eastAsia="仿宋" w:cs="仿宋"/>
                <w:sz w:val="24"/>
                <w:szCs w:val="24"/>
              </w:rPr>
              <w:t>火灾爆炸、自然灾害</w:t>
            </w:r>
          </w:p>
        </w:tc>
        <w:tc>
          <w:tcPr>
            <w:tcW w:w="6060" w:type="dxa"/>
            <w:tcBorders>
              <w:tl2br w:val="nil"/>
              <w:tr2bl w:val="nil"/>
            </w:tcBorders>
            <w:noWrap w:val="0"/>
            <w:vAlign w:val="top"/>
          </w:tcPr>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咨询有关专家，以得到必要的帮助和建议</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不要单独行动或做超出个人能力的事情</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处在火灾现场和有毒物质散发上风向</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穿上防护衣、防护鞋、戴上防护眼镜和防护手套</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确保人员离开现场，直到危险确实已经消除</w:t>
            </w:r>
          </w:p>
        </w:tc>
      </w:tr>
    </w:tbl>
    <w:p>
      <w:pPr>
        <w:pStyle w:val="7"/>
        <w:rPr>
          <w:rFonts w:hint="default" w:ascii="仿宋" w:hAnsi="仿宋" w:eastAsia="仿宋" w:cs="仿宋"/>
          <w:color w:val="auto"/>
          <w:sz w:val="28"/>
          <w:szCs w:val="28"/>
          <w:lang w:val="en-US" w:eastAsia="zh-CN"/>
        </w:rPr>
      </w:pPr>
    </w:p>
    <w:p>
      <w:pPr>
        <w:spacing w:line="480" w:lineRule="exact"/>
        <w:jc w:val="center"/>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8</w:t>
      </w:r>
      <w:r>
        <w:rPr>
          <w:rFonts w:hint="eastAsia" w:ascii="仿宋" w:hAnsi="仿宋" w:eastAsia="仿宋" w:cs="仿宋"/>
          <w:b/>
          <w:sz w:val="28"/>
          <w:szCs w:val="28"/>
        </w:rPr>
        <w:t>-</w:t>
      </w:r>
      <w:r>
        <w:rPr>
          <w:rFonts w:hint="eastAsia" w:ascii="仿宋" w:hAnsi="仿宋" w:eastAsia="仿宋" w:cs="仿宋"/>
          <w:b/>
          <w:sz w:val="28"/>
          <w:szCs w:val="28"/>
          <w:lang w:val="en-US" w:eastAsia="zh-CN"/>
        </w:rPr>
        <w:t>3</w:t>
      </w:r>
      <w:r>
        <w:rPr>
          <w:rFonts w:hint="eastAsia" w:ascii="仿宋" w:hAnsi="仿宋" w:eastAsia="仿宋" w:cs="仿宋"/>
          <w:b/>
          <w:sz w:val="28"/>
          <w:szCs w:val="28"/>
        </w:rPr>
        <w:t>.1 安全措施及应急对策（汽油）</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251"/>
        <w:gridCol w:w="2251"/>
        <w:gridCol w:w="2252"/>
        <w:gridCol w:w="225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642" w:type="dxa"/>
            <w:gridSpan w:val="2"/>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油品名称</w:t>
            </w:r>
          </w:p>
        </w:tc>
        <w:tc>
          <w:tcPr>
            <w:tcW w:w="4644" w:type="dxa"/>
            <w:gridSpan w:val="2"/>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汽油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警告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容易形成爆炸性油气混合物</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蒸气可将一定距离内的火源点燃并沿着蒸气经过的地方形成火龙</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接触到眼睛可产生刺激性</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吸入蒸气可引起对呼吸道的刺激、头痛、呕吐、意识模糊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人员防护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一定穿上防水、防化学腐蚀的工作服、手套、靴子以及护目镜，最好用氰化、氟化橡胶材质的（不要用天然橡胶或氯丁橡胶）</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戴上过滤有机蒸气的防护呼吸罩</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sz w:val="24"/>
                <w:szCs w:val="24"/>
              </w:rPr>
            </w:pPr>
            <w:r>
              <w:rPr>
                <w:rFonts w:hint="eastAsia" w:ascii="仿宋" w:hAnsi="仿宋" w:eastAsia="仿宋" w:cs="仿宋"/>
                <w:b/>
                <w:bCs/>
                <w:sz w:val="24"/>
                <w:szCs w:val="24"/>
              </w:rPr>
              <w:t>预防措施、方法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使汽油蒸发以免发生爆炸</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避免与强氧化剂接触，入硝酸、硫酸、氯气、臭氧、过氧化物</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限制火源</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防止无关人员进入事故现场，必须从上风向接近溢出点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sz w:val="24"/>
                <w:szCs w:val="24"/>
              </w:rPr>
            </w:pPr>
            <w:r>
              <w:rPr>
                <w:rFonts w:hint="eastAsia" w:ascii="仿宋" w:hAnsi="仿宋" w:eastAsia="仿宋" w:cs="仿宋"/>
                <w:b/>
                <w:bCs/>
                <w:sz w:val="24"/>
                <w:szCs w:val="24"/>
              </w:rPr>
              <w:t>火灾事故应急措施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仅仅在安全条件允许的条件下方可采取行动</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自戴氧气瓶、切断燃料供给，采用CO</w:t>
            </w:r>
            <w:r>
              <w:rPr>
                <w:rFonts w:hint="eastAsia" w:ascii="仿宋" w:hAnsi="仿宋" w:eastAsia="仿宋" w:cs="仿宋"/>
                <w:sz w:val="24"/>
                <w:szCs w:val="24"/>
                <w:vertAlign w:val="subscript"/>
              </w:rPr>
              <w:t>2</w:t>
            </w:r>
            <w:r>
              <w:rPr>
                <w:rFonts w:hint="eastAsia" w:ascii="仿宋" w:hAnsi="仿宋" w:eastAsia="仿宋" w:cs="仿宋"/>
                <w:sz w:val="24"/>
                <w:szCs w:val="24"/>
              </w:rPr>
              <w:t>、干粉、泡沫灭火器，用水冷却可能发生火灾的容器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急救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21"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眼睛</w:t>
            </w:r>
          </w:p>
        </w:tc>
        <w:tc>
          <w:tcPr>
            <w:tcW w:w="2321"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皮肤</w:t>
            </w:r>
          </w:p>
        </w:tc>
        <w:tc>
          <w:tcPr>
            <w:tcW w:w="2322"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呼吸</w:t>
            </w:r>
          </w:p>
        </w:tc>
        <w:tc>
          <w:tcPr>
            <w:tcW w:w="2322"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吸入液体</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21" w:type="dxa"/>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立即用干净的温水（不要用热水）洗涤20分钟（掀开眼皮）</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1" w:type="dxa"/>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脱掉被沾染的衣服</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用肥皂、水彻底清洗皮肤</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2" w:type="dxa"/>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将受伤人员迅速转移至空气新鲜的地方</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若受伤人员已不能呼吸，立即进行人工呼吸</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若受伤人员可进行微弱呼吸，马上提供氧气</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2" w:type="dxa"/>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不要令其呕吐，如果神志清醒，给一些牛奶</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如果受伤者开始呕吐，要防止倒呛</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r>
    </w:tbl>
    <w:p>
      <w:pPr>
        <w:pStyle w:val="7"/>
        <w:rPr>
          <w:rFonts w:hint="eastAsia" w:ascii="仿宋" w:hAnsi="仿宋" w:eastAsia="仿宋" w:cs="仿宋"/>
          <w:color w:val="auto"/>
          <w:sz w:val="24"/>
          <w:szCs w:val="24"/>
        </w:rPr>
      </w:pPr>
    </w:p>
    <w:p>
      <w:pPr>
        <w:spacing w:line="480" w:lineRule="exact"/>
        <w:jc w:val="center"/>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8</w:t>
      </w:r>
      <w:r>
        <w:rPr>
          <w:rFonts w:hint="eastAsia" w:ascii="仿宋" w:hAnsi="仿宋" w:eastAsia="仿宋" w:cs="仿宋"/>
          <w:b/>
          <w:sz w:val="28"/>
          <w:szCs w:val="28"/>
        </w:rPr>
        <w:t>-</w:t>
      </w:r>
      <w:r>
        <w:rPr>
          <w:rFonts w:hint="eastAsia" w:ascii="仿宋" w:hAnsi="仿宋" w:eastAsia="仿宋" w:cs="仿宋"/>
          <w:b/>
          <w:sz w:val="28"/>
          <w:szCs w:val="28"/>
          <w:lang w:val="en-US" w:eastAsia="zh-CN"/>
        </w:rPr>
        <w:t>3</w:t>
      </w:r>
      <w:r>
        <w:rPr>
          <w:rFonts w:hint="eastAsia" w:ascii="仿宋" w:hAnsi="仿宋" w:eastAsia="仿宋" w:cs="仿宋"/>
          <w:b/>
          <w:sz w:val="28"/>
          <w:szCs w:val="28"/>
        </w:rPr>
        <w:t>.2 安全措施及应急对策（柴油、润滑油、液压油）</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251"/>
        <w:gridCol w:w="2251"/>
        <w:gridCol w:w="2252"/>
        <w:gridCol w:w="225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642" w:type="dxa"/>
            <w:gridSpan w:val="2"/>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油品名称</w:t>
            </w:r>
          </w:p>
        </w:tc>
        <w:tc>
          <w:tcPr>
            <w:tcW w:w="4644" w:type="dxa"/>
            <w:gridSpan w:val="2"/>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柴油、润滑油、液压油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警告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在空气温度较高时可形成蒸气</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燃烧时可产生有毒气体</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接触到眼睛可产生刺激性</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吸入蒸气可引起对呼吸道的刺激、头痛、呕吐、意识模糊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人员防护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一定穿上防水、防化学腐蚀的工作服、手套、靴子以及护目镜，最好用氰化、氟化橡胶材质的（不要用天然橡胶或氯丁橡胶）</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戴上过滤有机蒸气的防护呼吸罩</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sz w:val="24"/>
                <w:szCs w:val="24"/>
              </w:rPr>
            </w:pPr>
            <w:r>
              <w:rPr>
                <w:rFonts w:hint="eastAsia" w:ascii="仿宋" w:hAnsi="仿宋" w:eastAsia="仿宋" w:cs="仿宋"/>
                <w:b/>
                <w:bCs/>
                <w:sz w:val="24"/>
                <w:szCs w:val="24"/>
              </w:rPr>
              <w:t>预防措施、方法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促使油气蒸发以免发生爆炸</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避免与强氧化剂接触，入硝酸、硫酸、氯气、臭氧、过氧化物</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限制火源</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防止无关人员进入事故现场，必须从上风向接近溢出点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sz w:val="24"/>
                <w:szCs w:val="24"/>
              </w:rPr>
            </w:pPr>
            <w:r>
              <w:rPr>
                <w:rFonts w:hint="eastAsia" w:ascii="仿宋" w:hAnsi="仿宋" w:eastAsia="仿宋" w:cs="仿宋"/>
                <w:sz w:val="24"/>
                <w:szCs w:val="24"/>
              </w:rPr>
              <w:t>火灾事故应急措施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仅仅在安全条件允许的条件下方可采取行动</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自戴氧气瓶、切断燃料供给，采用CO</w:t>
            </w:r>
            <w:r>
              <w:rPr>
                <w:rFonts w:hint="eastAsia" w:ascii="仿宋" w:hAnsi="仿宋" w:eastAsia="仿宋" w:cs="仿宋"/>
                <w:sz w:val="24"/>
                <w:szCs w:val="24"/>
                <w:vertAlign w:val="subscript"/>
              </w:rPr>
              <w:t>2</w:t>
            </w:r>
            <w:r>
              <w:rPr>
                <w:rFonts w:hint="eastAsia" w:ascii="仿宋" w:hAnsi="仿宋" w:eastAsia="仿宋" w:cs="仿宋"/>
                <w:sz w:val="24"/>
                <w:szCs w:val="24"/>
              </w:rPr>
              <w:t>、干粉、泡沫灭火器，用水冷却可能发生火灾的容器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急救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21"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眼睛</w:t>
            </w:r>
          </w:p>
        </w:tc>
        <w:tc>
          <w:tcPr>
            <w:tcW w:w="2321"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皮肤</w:t>
            </w:r>
          </w:p>
        </w:tc>
        <w:tc>
          <w:tcPr>
            <w:tcW w:w="2322"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呼吸</w:t>
            </w:r>
          </w:p>
        </w:tc>
        <w:tc>
          <w:tcPr>
            <w:tcW w:w="2322"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吸入液体</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21" w:type="dxa"/>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立即用干净的温水（不要用热水）洗涤20分钟（掀开眼皮）</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1" w:type="dxa"/>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脱掉被沾染的衣服</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用肥皂、水彻底清洗皮肤</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2" w:type="dxa"/>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将受伤人员迅速转移至空气新鲜的地方</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若受伤人员已不能呼吸，立即进行人工呼吸</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若受伤人员可进行微弱呼吸，马上提供氧气</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2" w:type="dxa"/>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不要令其呕吐，如果神志清醒，给一些牛奶</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如果受伤者开始呕吐，要防止倒呛</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r>
    </w:tbl>
    <w:p>
      <w:pPr>
        <w:pStyle w:val="7"/>
        <w:rPr>
          <w:rFonts w:hint="eastAsia" w:ascii="仿宋" w:hAnsi="仿宋" w:eastAsia="仿宋" w:cs="仿宋"/>
          <w:color w:val="auto"/>
          <w:sz w:val="28"/>
          <w:szCs w:val="28"/>
        </w:rPr>
      </w:pPr>
    </w:p>
    <w:p>
      <w:pPr>
        <w:pStyle w:val="7"/>
        <w:spacing w:before="10"/>
        <w:rPr>
          <w:rFonts w:hint="eastAsia" w:ascii="仿宋" w:hAnsi="仿宋" w:eastAsia="仿宋" w:cs="仿宋"/>
          <w:color w:val="auto"/>
          <w:sz w:val="28"/>
          <w:szCs w:val="28"/>
        </w:rPr>
      </w:pPr>
    </w:p>
    <w:p>
      <w:pPr>
        <w:pStyle w:val="26"/>
        <w:keepNext/>
        <w:keepLines w:val="0"/>
        <w:pageBreakBefore w:val="0"/>
        <w:widowControl/>
        <w:kinsoku/>
        <w:wordWrap/>
        <w:overflowPunct/>
        <w:topLinePunct w:val="0"/>
        <w:autoSpaceDE/>
        <w:autoSpaceDN/>
        <w:bidi w:val="0"/>
        <w:adjustRightInd/>
        <w:snapToGrid/>
        <w:spacing w:before="157" w:beforeLines="50" w:after="157" w:afterLines="50" w:line="360" w:lineRule="auto"/>
        <w:ind w:left="0" w:leftChars="0" w:firstLine="562" w:firstLineChars="200"/>
        <w:jc w:val="both"/>
        <w:textAlignment w:val="auto"/>
        <w:outlineLvl w:val="9"/>
        <w:rPr>
          <w:rFonts w:hint="eastAsia" w:ascii="仿宋" w:hAnsi="仿宋" w:eastAsia="仿宋" w:cs="仿宋"/>
          <w:b/>
          <w:bCs/>
          <w:sz w:val="28"/>
          <w:szCs w:val="28"/>
        </w:rPr>
      </w:pPr>
      <w:bookmarkStart w:id="101" w:name="_Toc3262"/>
      <w:bookmarkStart w:id="102" w:name="_Toc25063"/>
    </w:p>
    <w:p>
      <w:pPr>
        <w:pStyle w:val="26"/>
        <w:keepNext/>
        <w:keepLines w:val="0"/>
        <w:pageBreakBefore w:val="0"/>
        <w:widowControl/>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9"/>
        <w:rPr>
          <w:rFonts w:hint="eastAsia" w:ascii="仿宋" w:hAnsi="仿宋" w:eastAsia="仿宋" w:cs="仿宋"/>
          <w:b/>
          <w:bCs/>
          <w:sz w:val="28"/>
          <w:szCs w:val="28"/>
        </w:rPr>
      </w:pPr>
    </w:p>
    <w:p>
      <w:pPr>
        <w:rPr>
          <w:rFonts w:hint="eastAsia" w:ascii="仿宋" w:hAnsi="仿宋" w:eastAsia="仿宋" w:cs="仿宋"/>
          <w:b/>
          <w:bCs/>
          <w:sz w:val="28"/>
          <w:szCs w:val="28"/>
        </w:rPr>
      </w:pPr>
    </w:p>
    <w:p>
      <w:pPr>
        <w:rPr>
          <w:rFonts w:hint="eastAsia" w:ascii="仿宋" w:hAnsi="仿宋" w:eastAsia="仿宋" w:cs="仿宋"/>
          <w:b/>
          <w:bCs/>
          <w:sz w:val="28"/>
          <w:szCs w:val="28"/>
        </w:rPr>
      </w:pPr>
    </w:p>
    <w:p>
      <w:pPr>
        <w:spacing w:line="360" w:lineRule="auto"/>
        <w:jc w:val="both"/>
        <w:rPr>
          <w:rFonts w:hint="eastAsia" w:ascii="仿宋" w:hAnsi="仿宋" w:eastAsia="仿宋" w:cs="仿宋"/>
          <w:sz w:val="28"/>
          <w:szCs w:val="28"/>
        </w:rPr>
      </w:pPr>
    </w:p>
    <w:p>
      <w:pPr>
        <w:spacing w:line="360" w:lineRule="auto"/>
        <w:jc w:val="both"/>
        <w:rPr>
          <w:rFonts w:hint="eastAsia" w:ascii="仿宋" w:hAnsi="仿宋" w:eastAsia="仿宋" w:cs="仿宋"/>
          <w:sz w:val="28"/>
          <w:szCs w:val="28"/>
        </w:rPr>
      </w:pPr>
    </w:p>
    <w:p>
      <w:pPr>
        <w:spacing w:line="360" w:lineRule="auto"/>
        <w:ind w:firstLine="562" w:firstLineChars="200"/>
        <w:jc w:val="both"/>
        <w:rPr>
          <w:rFonts w:hint="eastAsia" w:ascii="仿宋" w:hAnsi="仿宋" w:eastAsia="仿宋" w:cs="仿宋"/>
          <w:b/>
          <w:bCs/>
          <w:sz w:val="28"/>
          <w:szCs w:val="28"/>
        </w:rPr>
      </w:pPr>
    </w:p>
    <w:p>
      <w:pPr>
        <w:spacing w:line="360" w:lineRule="auto"/>
        <w:jc w:val="both"/>
        <w:rPr>
          <w:rFonts w:hint="eastAsia" w:ascii="仿宋" w:hAnsi="仿宋" w:eastAsia="仿宋" w:cs="仿宋"/>
          <w:b/>
          <w:bCs/>
          <w:sz w:val="28"/>
          <w:szCs w:val="28"/>
        </w:rPr>
      </w:pP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9</w:t>
      </w:r>
      <w:r>
        <w:rPr>
          <w:rFonts w:hint="eastAsia" w:ascii="仿宋" w:hAnsi="仿宋" w:eastAsia="仿宋" w:cs="仿宋"/>
          <w:b/>
          <w:bCs/>
          <w:sz w:val="28"/>
          <w:szCs w:val="28"/>
          <w:lang w:eastAsia="zh-CN"/>
        </w:rPr>
        <w:t>、</w:t>
      </w:r>
      <w:r>
        <w:rPr>
          <w:rFonts w:hint="eastAsia" w:ascii="仿宋" w:hAnsi="仿宋" w:eastAsia="仿宋" w:cs="仿宋"/>
          <w:b/>
          <w:bCs/>
          <w:sz w:val="28"/>
          <w:szCs w:val="28"/>
        </w:rPr>
        <w:t>发放范围</w:t>
      </w:r>
    </w:p>
    <w:bookmarkEnd w:id="101"/>
    <w:bookmarkEnd w:id="102"/>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本作业方案为公司受控文件，发放范围包括公司领导、各部门。</w:t>
      </w:r>
    </w:p>
    <w:p>
      <w:pPr>
        <w:spacing w:line="360" w:lineRule="auto"/>
        <w:ind w:firstLine="562" w:firstLineChars="200"/>
        <w:jc w:val="both"/>
        <w:rPr>
          <w:rFonts w:hint="eastAsia" w:ascii="仿宋" w:hAnsi="仿宋" w:eastAsia="仿宋" w:cs="仿宋"/>
          <w:b/>
          <w:bCs/>
          <w:sz w:val="28"/>
          <w:szCs w:val="28"/>
        </w:rPr>
      </w:pPr>
      <w:bookmarkStart w:id="103" w:name="_Toc210"/>
      <w:bookmarkStart w:id="104" w:name="_Toc28556"/>
      <w:r>
        <w:rPr>
          <w:rFonts w:hint="eastAsia" w:ascii="仿宋" w:hAnsi="仿宋" w:eastAsia="仿宋" w:cs="仿宋"/>
          <w:b/>
          <w:bCs/>
          <w:sz w:val="28"/>
          <w:szCs w:val="28"/>
          <w:lang w:val="en-US" w:eastAsia="zh-CN"/>
        </w:rPr>
        <w:t>10</w:t>
      </w:r>
      <w:r>
        <w:rPr>
          <w:rFonts w:hint="eastAsia" w:ascii="仿宋" w:hAnsi="仿宋" w:eastAsia="仿宋" w:cs="仿宋"/>
          <w:b/>
          <w:bCs/>
          <w:sz w:val="28"/>
          <w:szCs w:val="28"/>
          <w:lang w:eastAsia="zh-CN"/>
        </w:rPr>
        <w:t>、</w:t>
      </w:r>
      <w:r>
        <w:rPr>
          <w:rFonts w:hint="eastAsia" w:ascii="仿宋" w:hAnsi="仿宋" w:eastAsia="仿宋" w:cs="仿宋"/>
          <w:b/>
          <w:bCs/>
          <w:sz w:val="28"/>
          <w:szCs w:val="28"/>
        </w:rPr>
        <w:t>附表和附件</w:t>
      </w:r>
      <w:bookmarkEnd w:id="103"/>
      <w:bookmarkEnd w:id="104"/>
    </w:p>
    <w:p>
      <w:pPr>
        <w:spacing w:line="360" w:lineRule="auto"/>
        <w:ind w:firstLine="560" w:firstLineChars="200"/>
        <w:jc w:val="both"/>
        <w:outlineLvl w:val="0"/>
        <w:rPr>
          <w:rFonts w:hint="eastAsia" w:ascii="仿宋" w:hAnsi="仿宋" w:eastAsia="仿宋" w:cs="仿宋"/>
          <w:sz w:val="28"/>
          <w:szCs w:val="28"/>
        </w:rPr>
      </w:pPr>
      <w:bookmarkStart w:id="105" w:name="_Toc14546"/>
      <w:r>
        <w:rPr>
          <w:rFonts w:hint="eastAsia" w:ascii="仿宋" w:hAnsi="仿宋" w:eastAsia="仿宋" w:cs="仿宋"/>
          <w:sz w:val="28"/>
          <w:szCs w:val="28"/>
        </w:rPr>
        <w:t>附表1</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污染清除船靠船作业安全检查表</w:t>
      </w:r>
      <w:bookmarkEnd w:id="105"/>
    </w:p>
    <w:p>
      <w:pPr>
        <w:spacing w:line="360" w:lineRule="auto"/>
        <w:ind w:firstLine="560" w:firstLineChars="200"/>
        <w:jc w:val="both"/>
        <w:outlineLvl w:val="0"/>
        <w:rPr>
          <w:rFonts w:hint="eastAsia" w:ascii="仿宋" w:hAnsi="仿宋" w:eastAsia="仿宋" w:cs="仿宋"/>
          <w:sz w:val="28"/>
          <w:szCs w:val="28"/>
        </w:rPr>
      </w:pPr>
      <w:bookmarkStart w:id="106" w:name="_Toc10121"/>
      <w:r>
        <w:rPr>
          <w:rFonts w:hint="eastAsia" w:ascii="仿宋" w:hAnsi="仿宋" w:eastAsia="仿宋" w:cs="仿宋"/>
          <w:sz w:val="28"/>
          <w:szCs w:val="28"/>
        </w:rPr>
        <w:t>附表2</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围控失效报告信息表</w:t>
      </w:r>
      <w:bookmarkEnd w:id="106"/>
    </w:p>
    <w:p>
      <w:pPr>
        <w:spacing w:line="360" w:lineRule="auto"/>
        <w:ind w:firstLine="560" w:firstLineChars="200"/>
        <w:jc w:val="both"/>
        <w:outlineLvl w:val="0"/>
        <w:rPr>
          <w:rFonts w:hint="eastAsia" w:ascii="仿宋" w:hAnsi="仿宋" w:eastAsia="仿宋" w:cs="仿宋"/>
          <w:b w:val="0"/>
          <w:bCs w:val="0"/>
          <w:sz w:val="28"/>
          <w:szCs w:val="28"/>
        </w:rPr>
      </w:pPr>
      <w:bookmarkStart w:id="107" w:name="_Toc18830"/>
      <w:r>
        <w:rPr>
          <w:rFonts w:hint="eastAsia" w:ascii="仿宋" w:hAnsi="仿宋" w:eastAsia="仿宋" w:cs="仿宋"/>
          <w:sz w:val="28"/>
          <w:szCs w:val="28"/>
          <w:lang w:eastAsia="zh-CN"/>
        </w:rPr>
        <w:t>附件</w:t>
      </w:r>
      <w:r>
        <w:rPr>
          <w:rFonts w:hint="eastAsia" w:ascii="仿宋" w:hAnsi="仿宋" w:eastAsia="仿宋" w:cs="仿宋"/>
          <w:sz w:val="28"/>
          <w:szCs w:val="28"/>
          <w:lang w:val="en-US" w:eastAsia="zh-CN"/>
        </w:rPr>
        <w:t xml:space="preserve">1 </w:t>
      </w:r>
      <w:r>
        <w:rPr>
          <w:rFonts w:hint="eastAsia" w:ascii="仿宋" w:hAnsi="仿宋" w:eastAsia="仿宋" w:cs="仿宋"/>
          <w:b w:val="0"/>
          <w:bCs w:val="0"/>
          <w:color w:val="auto"/>
          <w:sz w:val="28"/>
          <w:szCs w:val="28"/>
          <w:lang w:val="en-US" w:eastAsia="zh-CN"/>
        </w:rPr>
        <w:t>浙江省近岸海域功能区划示意图</w:t>
      </w:r>
      <w:bookmarkEnd w:id="107"/>
    </w:p>
    <w:p>
      <w:pPr>
        <w:spacing w:line="360" w:lineRule="auto"/>
        <w:ind w:firstLine="560" w:firstLineChars="200"/>
        <w:jc w:val="both"/>
        <w:outlineLvl w:val="0"/>
        <w:rPr>
          <w:rFonts w:hint="eastAsia" w:ascii="仿宋" w:hAnsi="仿宋" w:eastAsia="仿宋" w:cs="仿宋"/>
          <w:sz w:val="28"/>
          <w:szCs w:val="28"/>
        </w:rPr>
      </w:pPr>
      <w:bookmarkStart w:id="108" w:name="_Toc9911"/>
      <w:r>
        <w:rPr>
          <w:rFonts w:hint="eastAsia" w:ascii="仿宋" w:hAnsi="仿宋" w:eastAsia="仿宋" w:cs="仿宋"/>
          <w:sz w:val="28"/>
          <w:szCs w:val="28"/>
          <w:lang w:eastAsia="zh-CN"/>
        </w:rPr>
        <w:t>附件</w:t>
      </w:r>
      <w:r>
        <w:rPr>
          <w:rFonts w:hint="eastAsia" w:ascii="仿宋" w:hAnsi="仿宋" w:eastAsia="仿宋" w:cs="仿宋"/>
          <w:sz w:val="28"/>
          <w:szCs w:val="28"/>
          <w:lang w:val="en-US" w:eastAsia="zh-CN"/>
        </w:rPr>
        <w:t xml:space="preserve">2 </w:t>
      </w:r>
      <w:r>
        <w:rPr>
          <w:rFonts w:hint="eastAsia" w:ascii="仿宋" w:hAnsi="仿宋" w:eastAsia="仿宋" w:cs="仿宋"/>
          <w:sz w:val="28"/>
          <w:szCs w:val="28"/>
        </w:rPr>
        <w:t>台州市海洋功能区划图</w:t>
      </w:r>
      <w:bookmarkEnd w:id="108"/>
    </w:p>
    <w:p>
      <w:pPr>
        <w:spacing w:line="360" w:lineRule="auto"/>
        <w:jc w:val="both"/>
        <w:rPr>
          <w:rFonts w:hint="eastAsia" w:ascii="仿宋" w:hAnsi="仿宋" w:eastAsia="仿宋" w:cs="仿宋"/>
          <w:sz w:val="28"/>
          <w:szCs w:val="28"/>
        </w:rPr>
        <w:sectPr>
          <w:pgSz w:w="11906" w:h="16838"/>
          <w:pgMar w:top="1247" w:right="1418" w:bottom="1247" w:left="1418" w:header="851" w:footer="992" w:gutter="0"/>
          <w:pgBorders w:offsetFrom="page">
            <w:top w:val="none" w:sz="0" w:space="0"/>
            <w:left w:val="none" w:sz="0" w:space="0"/>
            <w:bottom w:val="none" w:sz="0" w:space="0"/>
            <w:right w:val="none" w:sz="0" w:space="0"/>
          </w:pgBorders>
          <w:pgNumType w:fmt="decimal"/>
          <w:cols w:space="720" w:num="1"/>
          <w:docGrid w:linePitch="312" w:charSpace="0"/>
        </w:sectPr>
      </w:pPr>
    </w:p>
    <w:p>
      <w:pPr>
        <w:pStyle w:val="25"/>
        <w:keepNext/>
        <w:keepLines w:val="0"/>
        <w:pageBreakBefore/>
        <w:widowControl/>
        <w:kinsoku/>
        <w:wordWrap/>
        <w:overflowPunct/>
        <w:topLinePunct w:val="0"/>
        <w:autoSpaceDE/>
        <w:autoSpaceDN/>
        <w:bidi w:val="0"/>
        <w:adjustRightInd/>
        <w:snapToGrid/>
        <w:spacing w:before="164" w:beforeLines="50" w:after="164" w:afterLines="50" w:line="500" w:lineRule="exact"/>
        <w:ind w:left="0" w:leftChars="0" w:firstLine="0" w:firstLineChars="0"/>
        <w:textAlignment w:val="auto"/>
        <w:outlineLvl w:val="0"/>
        <w:rPr>
          <w:rFonts w:hint="eastAsia" w:ascii="仿宋" w:hAnsi="仿宋" w:eastAsia="仿宋" w:cs="仿宋"/>
          <w:b/>
          <w:bCs/>
          <w:iCs/>
          <w:sz w:val="28"/>
          <w:szCs w:val="28"/>
        </w:rPr>
      </w:pPr>
      <w:bookmarkStart w:id="109" w:name="_Toc20883"/>
      <w:bookmarkStart w:id="110" w:name="_Toc30301"/>
      <w:bookmarkStart w:id="111" w:name="_Toc23680"/>
      <w:r>
        <w:rPr>
          <w:rFonts w:hint="eastAsia" w:ascii="仿宋" w:hAnsi="仿宋" w:eastAsia="仿宋" w:cs="仿宋"/>
          <w:b/>
          <w:bCs/>
          <w:iCs/>
          <w:sz w:val="28"/>
          <w:szCs w:val="28"/>
        </w:rPr>
        <w:t>附表1</w:t>
      </w:r>
      <w:r>
        <w:rPr>
          <w:rFonts w:hint="eastAsia" w:ascii="仿宋" w:hAnsi="仿宋" w:eastAsia="仿宋" w:cs="仿宋"/>
          <w:b/>
          <w:bCs/>
          <w:iCs/>
          <w:sz w:val="28"/>
          <w:szCs w:val="28"/>
          <w:lang w:val="en-US" w:eastAsia="zh-CN"/>
        </w:rPr>
        <w:t xml:space="preserve"> </w:t>
      </w:r>
      <w:r>
        <w:rPr>
          <w:rFonts w:hint="eastAsia" w:ascii="仿宋" w:hAnsi="仿宋" w:eastAsia="仿宋" w:cs="仿宋"/>
          <w:b/>
          <w:bCs/>
          <w:iCs/>
          <w:sz w:val="28"/>
          <w:szCs w:val="28"/>
        </w:rPr>
        <w:t>污染清除船靠船作业安全检查表</w:t>
      </w:r>
      <w:bookmarkEnd w:id="109"/>
      <w:bookmarkEnd w:id="110"/>
      <w:bookmarkEnd w:id="111"/>
    </w:p>
    <w:p>
      <w:pPr>
        <w:jc w:val="center"/>
        <w:rPr>
          <w:rFonts w:hint="eastAsia" w:ascii="仿宋" w:hAnsi="仿宋" w:eastAsia="仿宋" w:cs="仿宋"/>
          <w:b/>
          <w:sz w:val="24"/>
          <w:szCs w:val="24"/>
        </w:rPr>
      </w:pPr>
    </w:p>
    <w:p>
      <w:pPr>
        <w:keepNext w:val="0"/>
        <w:keepLines w:val="0"/>
        <w:pageBreakBefore w:val="0"/>
        <w:widowControl/>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rPr>
      </w:pPr>
      <w:r>
        <w:rPr>
          <w:rFonts w:hint="eastAsia" w:ascii="仿宋" w:hAnsi="仿宋" w:eastAsia="仿宋" w:cs="仿宋"/>
          <w:sz w:val="24"/>
          <w:szCs w:val="24"/>
        </w:rPr>
        <w:t>日期：     年   月   日</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250"/>
        <w:gridCol w:w="2251"/>
        <w:gridCol w:w="2251"/>
        <w:gridCol w:w="776"/>
        <w:gridCol w:w="766"/>
        <w:gridCol w:w="71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21"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事故船船名</w:t>
            </w: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接收船船名</w:t>
            </w:r>
          </w:p>
        </w:tc>
        <w:tc>
          <w:tcPr>
            <w:tcW w:w="2321" w:type="dxa"/>
            <w:gridSpan w:val="3"/>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2" w:hRule="exact"/>
          <w:jc w:val="center"/>
        </w:trPr>
        <w:tc>
          <w:tcPr>
            <w:tcW w:w="2321"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污染物种类</w:t>
            </w: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计划转载数量</w:t>
            </w:r>
          </w:p>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（m³或t）</w:t>
            </w:r>
          </w:p>
        </w:tc>
        <w:tc>
          <w:tcPr>
            <w:tcW w:w="2321" w:type="dxa"/>
            <w:gridSpan w:val="3"/>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21"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作业时间</w:t>
            </w: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作业地点</w:t>
            </w:r>
          </w:p>
        </w:tc>
        <w:tc>
          <w:tcPr>
            <w:tcW w:w="2321" w:type="dxa"/>
            <w:gridSpan w:val="3"/>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21"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作业地点风力</w:t>
            </w: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作业地点海浪</w:t>
            </w:r>
          </w:p>
        </w:tc>
        <w:tc>
          <w:tcPr>
            <w:tcW w:w="2321" w:type="dxa"/>
            <w:gridSpan w:val="3"/>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事故船舶丧失自卸能力</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两船作业管路完好</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确认接好后，结合处放置防污容器</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正确设置管路、阀门</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甲板排水孔全部堵塞</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双方约定的联络方法和信号（               ）</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双方安排专门值守人员</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操作程序、步骤已经商定</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备妥应急防污设备、器材</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事故船提供污染物安全数据（MSDS）</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71" w:hRule="atLeast"/>
          <w:jc w:val="center"/>
        </w:trPr>
        <w:tc>
          <w:tcPr>
            <w:tcW w:w="9286" w:type="dxa"/>
            <w:gridSpan w:val="6"/>
            <w:tcBorders>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spacing w:before="95" w:beforeLines="30" w:line="240" w:lineRule="auto"/>
              <w:jc w:val="both"/>
              <w:textAlignment w:val="auto"/>
              <w:rPr>
                <w:rFonts w:hint="eastAsia" w:ascii="仿宋" w:hAnsi="仿宋" w:eastAsia="仿宋" w:cs="仿宋"/>
                <w:sz w:val="24"/>
                <w:szCs w:val="24"/>
              </w:rPr>
            </w:pPr>
            <w:r>
              <w:rPr>
                <w:rFonts w:hint="eastAsia" w:ascii="仿宋" w:hAnsi="仿宋" w:eastAsia="仿宋" w:cs="仿宋"/>
                <w:sz w:val="24"/>
                <w:szCs w:val="24"/>
              </w:rPr>
              <w:t>其他：</w:t>
            </w: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tc>
      </w:tr>
    </w:tbl>
    <w:p>
      <w:pPr>
        <w:keepNext w:val="0"/>
        <w:keepLines w:val="0"/>
        <w:pageBreakBefore w:val="0"/>
        <w:widowControl/>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rPr>
      </w:pPr>
      <w:r>
        <w:rPr>
          <w:rFonts w:hint="eastAsia" w:ascii="仿宋" w:hAnsi="仿宋" w:eastAsia="仿宋" w:cs="仿宋"/>
          <w:sz w:val="24"/>
          <w:szCs w:val="24"/>
        </w:rPr>
        <w:t>事故船负责人（签字）：</w:t>
      </w:r>
    </w:p>
    <w:p>
      <w:pPr>
        <w:keepNext w:val="0"/>
        <w:keepLines w:val="0"/>
        <w:pageBreakBefore w:val="0"/>
        <w:widowControl/>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rPr>
      </w:pPr>
      <w:r>
        <w:rPr>
          <w:rFonts w:hint="eastAsia" w:ascii="仿宋" w:hAnsi="仿宋" w:eastAsia="仿宋" w:cs="仿宋"/>
          <w:sz w:val="24"/>
          <w:szCs w:val="24"/>
        </w:rPr>
        <w:t>接收船负责人（签字）：</w:t>
      </w:r>
    </w:p>
    <w:p>
      <w:pPr>
        <w:pStyle w:val="25"/>
        <w:keepNext/>
        <w:keepLines w:val="0"/>
        <w:pageBreakBefore/>
        <w:widowControl/>
        <w:kinsoku/>
        <w:wordWrap/>
        <w:overflowPunct/>
        <w:topLinePunct w:val="0"/>
        <w:autoSpaceDE/>
        <w:autoSpaceDN/>
        <w:bidi w:val="0"/>
        <w:adjustRightInd/>
        <w:snapToGrid/>
        <w:spacing w:before="164" w:beforeLines="50" w:after="164" w:afterLines="50" w:line="500" w:lineRule="exact"/>
        <w:ind w:left="0" w:leftChars="0" w:firstLine="0" w:firstLineChars="0"/>
        <w:textAlignment w:val="auto"/>
        <w:outlineLvl w:val="0"/>
        <w:rPr>
          <w:rFonts w:hint="eastAsia" w:ascii="仿宋" w:hAnsi="仿宋" w:eastAsia="仿宋" w:cs="仿宋"/>
          <w:b/>
          <w:bCs/>
          <w:iCs/>
          <w:sz w:val="28"/>
          <w:szCs w:val="28"/>
        </w:rPr>
        <w:sectPr>
          <w:footerReference r:id="rId11" w:type="default"/>
          <w:pgSz w:w="11910" w:h="16840"/>
          <w:pgMar w:top="1247" w:right="1417" w:bottom="1247" w:left="1417" w:header="0" w:footer="0" w:gutter="0"/>
          <w:pgBorders>
            <w:top w:val="none" w:sz="0" w:space="0"/>
            <w:left w:val="none" w:sz="0" w:space="0"/>
            <w:bottom w:val="none" w:sz="0" w:space="0"/>
            <w:right w:val="none" w:sz="0" w:space="0"/>
          </w:pgBorders>
          <w:pgNumType w:fmt="decimal"/>
        </w:sectPr>
      </w:pPr>
      <w:bookmarkStart w:id="112" w:name="_Toc20104"/>
      <w:bookmarkStart w:id="113" w:name="_Toc3795"/>
      <w:bookmarkStart w:id="114" w:name="_Toc12553"/>
    </w:p>
    <w:p>
      <w:pPr>
        <w:pStyle w:val="25"/>
        <w:keepNext/>
        <w:keepLines w:val="0"/>
        <w:pageBreakBefore/>
        <w:widowControl/>
        <w:kinsoku/>
        <w:wordWrap/>
        <w:overflowPunct/>
        <w:topLinePunct w:val="0"/>
        <w:autoSpaceDE/>
        <w:autoSpaceDN/>
        <w:bidi w:val="0"/>
        <w:adjustRightInd/>
        <w:snapToGrid/>
        <w:spacing w:before="164" w:beforeLines="50" w:after="164" w:afterLines="50" w:line="500" w:lineRule="exact"/>
        <w:ind w:left="0" w:leftChars="0" w:firstLine="0" w:firstLineChars="0"/>
        <w:textAlignment w:val="auto"/>
        <w:outlineLvl w:val="0"/>
        <w:rPr>
          <w:rFonts w:hint="eastAsia" w:ascii="仿宋" w:hAnsi="仿宋" w:eastAsia="仿宋" w:cs="仿宋"/>
          <w:b/>
          <w:bCs/>
          <w:iCs/>
          <w:sz w:val="28"/>
          <w:szCs w:val="28"/>
        </w:rPr>
      </w:pPr>
      <w:r>
        <w:rPr>
          <w:rFonts w:hint="eastAsia" w:ascii="仿宋" w:hAnsi="仿宋" w:eastAsia="仿宋" w:cs="仿宋"/>
          <w:b/>
          <w:bCs/>
          <w:iCs/>
          <w:sz w:val="28"/>
          <w:szCs w:val="28"/>
        </w:rPr>
        <w:t>附表2</w:t>
      </w:r>
      <w:r>
        <w:rPr>
          <w:rFonts w:hint="eastAsia" w:ascii="仿宋" w:hAnsi="仿宋" w:eastAsia="仿宋" w:cs="仿宋"/>
          <w:b/>
          <w:bCs/>
          <w:iCs/>
          <w:sz w:val="28"/>
          <w:szCs w:val="28"/>
          <w:lang w:val="en-US" w:eastAsia="zh-CN"/>
        </w:rPr>
        <w:t xml:space="preserve"> </w:t>
      </w:r>
      <w:r>
        <w:rPr>
          <w:rFonts w:hint="eastAsia" w:ascii="仿宋" w:hAnsi="仿宋" w:eastAsia="仿宋" w:cs="仿宋"/>
          <w:b/>
          <w:bCs/>
          <w:iCs/>
          <w:sz w:val="28"/>
          <w:szCs w:val="28"/>
        </w:rPr>
        <w:t>围控失效报告信息表</w:t>
      </w:r>
      <w:bookmarkEnd w:id="112"/>
      <w:bookmarkEnd w:id="113"/>
      <w:bookmarkEnd w:id="114"/>
    </w:p>
    <w:p>
      <w:pPr>
        <w:keepNext w:val="0"/>
        <w:keepLines w:val="0"/>
        <w:pageBreakBefore w:val="0"/>
        <w:widowControl/>
        <w:kinsoku/>
        <w:wordWrap/>
        <w:overflowPunct/>
        <w:topLinePunct w:val="0"/>
        <w:autoSpaceDE/>
        <w:autoSpaceDN/>
        <w:bidi w:val="0"/>
        <w:adjustRightInd/>
        <w:snapToGrid/>
        <w:spacing w:line="500" w:lineRule="exact"/>
        <w:textAlignment w:val="auto"/>
        <w:outlineLvl w:val="9"/>
        <w:rPr>
          <w:rFonts w:hint="eastAsia" w:ascii="仿宋" w:hAnsi="仿宋" w:eastAsia="仿宋" w:cs="仿宋"/>
          <w:sz w:val="24"/>
          <w:szCs w:val="24"/>
        </w:rPr>
      </w:pPr>
      <w:r>
        <w:rPr>
          <w:rFonts w:hint="eastAsia" w:ascii="仿宋" w:hAnsi="仿宋" w:eastAsia="仿宋" w:cs="仿宋"/>
          <w:sz w:val="24"/>
          <w:szCs w:val="24"/>
        </w:rPr>
        <w:t>日期：   年   月   日</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227"/>
        <w:gridCol w:w="478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35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报告船的船名</w:t>
            </w:r>
          </w:p>
        </w:tc>
        <w:tc>
          <w:tcPr>
            <w:tcW w:w="493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35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发现失效第一时间</w:t>
            </w:r>
          </w:p>
        </w:tc>
        <w:tc>
          <w:tcPr>
            <w:tcW w:w="493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35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围控失效表现</w:t>
            </w:r>
          </w:p>
        </w:tc>
        <w:tc>
          <w:tcPr>
            <w:tcW w:w="493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35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现场风向</w:t>
            </w:r>
          </w:p>
        </w:tc>
        <w:tc>
          <w:tcPr>
            <w:tcW w:w="493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35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现场流向</w:t>
            </w:r>
          </w:p>
        </w:tc>
        <w:tc>
          <w:tcPr>
            <w:tcW w:w="493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35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现场浪高</w:t>
            </w:r>
          </w:p>
        </w:tc>
        <w:tc>
          <w:tcPr>
            <w:tcW w:w="493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35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失效产生的游离数量（m³）</w:t>
            </w:r>
          </w:p>
        </w:tc>
        <w:tc>
          <w:tcPr>
            <w:tcW w:w="493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35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游离污染源的运动状态</w:t>
            </w:r>
          </w:p>
        </w:tc>
        <w:tc>
          <w:tcPr>
            <w:tcW w:w="493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430" w:hRule="atLeast"/>
          <w:jc w:val="center"/>
        </w:trPr>
        <w:tc>
          <w:tcPr>
            <w:tcW w:w="9286" w:type="dxa"/>
            <w:gridSpan w:val="2"/>
            <w:tcBorders>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spacing w:before="95" w:beforeLines="30" w:line="240" w:lineRule="auto"/>
              <w:jc w:val="both"/>
              <w:textAlignment w:val="auto"/>
              <w:rPr>
                <w:rFonts w:hint="eastAsia" w:ascii="仿宋" w:hAnsi="仿宋" w:eastAsia="仿宋" w:cs="仿宋"/>
                <w:sz w:val="24"/>
                <w:szCs w:val="24"/>
              </w:rPr>
            </w:pPr>
            <w:r>
              <w:rPr>
                <w:rFonts w:hint="eastAsia" w:ascii="仿宋" w:hAnsi="仿宋" w:eastAsia="仿宋" w:cs="仿宋"/>
                <w:sz w:val="24"/>
                <w:szCs w:val="24"/>
              </w:rPr>
              <w:t>其他相关信息：</w:t>
            </w: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tc>
      </w:tr>
    </w:tbl>
    <w:p>
      <w:pPr>
        <w:pStyle w:val="7"/>
        <w:rPr>
          <w:rFonts w:hint="eastAsia" w:ascii="仿宋" w:hAnsi="仿宋" w:eastAsia="仿宋" w:cs="仿宋"/>
          <w:color w:val="auto"/>
          <w:sz w:val="28"/>
          <w:szCs w:val="28"/>
        </w:rPr>
      </w:pPr>
      <w:bookmarkStart w:id="115" w:name="_GoBack"/>
      <w:bookmarkEnd w:id="115"/>
    </w:p>
    <w:p>
      <w:pPr>
        <w:pStyle w:val="7"/>
        <w:ind w:left="220"/>
        <w:rPr>
          <w:rFonts w:hint="eastAsia" w:ascii="仿宋" w:hAnsi="仿宋" w:eastAsia="仿宋" w:cs="仿宋"/>
          <w:color w:val="auto"/>
          <w:sz w:val="28"/>
          <w:szCs w:val="28"/>
        </w:rPr>
      </w:pPr>
    </w:p>
    <w:p>
      <w:pPr>
        <w:pStyle w:val="7"/>
        <w:ind w:left="220"/>
        <w:rPr>
          <w:rFonts w:hint="eastAsia" w:ascii="仿宋" w:hAnsi="仿宋" w:eastAsia="仿宋" w:cs="仿宋"/>
          <w:color w:val="auto"/>
          <w:sz w:val="28"/>
          <w:szCs w:val="28"/>
        </w:rPr>
        <w:sectPr>
          <w:pgSz w:w="11910" w:h="16840"/>
          <w:pgMar w:top="1247" w:right="1417" w:bottom="1247" w:left="1417" w:header="0" w:footer="0" w:gutter="0"/>
          <w:pgBorders>
            <w:top w:val="none" w:sz="0" w:space="0"/>
            <w:left w:val="none" w:sz="0" w:space="0"/>
            <w:bottom w:val="none" w:sz="0" w:space="0"/>
            <w:right w:val="none" w:sz="0" w:space="0"/>
          </w:pgBorders>
          <w:pgNumType w:fmt="decimal"/>
        </w:sectPr>
      </w:pPr>
    </w:p>
    <w:p>
      <w:pPr>
        <w:pStyle w:val="7"/>
        <w:outlineLvl w:val="0"/>
        <w:rPr>
          <w:rFonts w:hint="eastAsia" w:ascii="仿宋" w:hAnsi="仿宋" w:eastAsia="仿宋" w:cs="仿宋"/>
          <w:color w:val="auto"/>
          <w:sz w:val="28"/>
          <w:szCs w:val="28"/>
          <w:lang w:val="en-US" w:eastAsia="zh-CN"/>
        </w:rPr>
      </w:pPr>
    </w:p>
    <w:p>
      <w:pPr>
        <w:pStyle w:val="7"/>
        <w:rPr>
          <w:rFonts w:hint="eastAsia" w:ascii="仿宋" w:hAnsi="仿宋" w:eastAsia="仿宋" w:cs="仿宋"/>
          <w:color w:val="auto"/>
          <w:sz w:val="28"/>
          <w:szCs w:val="28"/>
          <w:lang w:val="en-US" w:eastAsia="zh-CN"/>
        </w:rPr>
      </w:pPr>
    </w:p>
    <w:p>
      <w:pPr>
        <w:pStyle w:val="7"/>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       </w:t>
      </w:r>
    </w:p>
    <w:sectPr>
      <w:footerReference r:id="rId12" w:type="default"/>
      <w:pgSz w:w="11910" w:h="16840"/>
      <w:pgMar w:top="1247" w:right="1417" w:bottom="1247" w:left="1417" w:header="0" w:footer="0" w:gutter="0"/>
      <w:pgBorders>
        <w:top w:val="none" w:sz="0" w:space="0"/>
        <w:left w:val="none" w:sz="0" w:space="0"/>
        <w:bottom w:val="none" w:sz="0" w:space="0"/>
        <w:right w:val="none" w:sz="0" w:space="0"/>
      </w:pgBorders>
      <w:pgNumType w:fmt="decimal"/>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swiss"/>
    <w:pitch w:val="default"/>
    <w:sig w:usb0="80000287" w:usb1="280F3C52" w:usb2="00000016" w:usb3="00000000" w:csb0="0004001F" w:csb1="00000000"/>
  </w:font>
  <w:font w:name="Cambria">
    <w:panose1 w:val="02040503050406030204"/>
    <w:charset w:val="00"/>
    <w:family w:val="roman"/>
    <w:pitch w:val="default"/>
    <w:sig w:usb0="E00002FF" w:usb1="400004FF" w:usb2="00000000"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w:pict>
        <v:shape id="_x0000_s2059" o:spid="_x0000_s2059" o:spt="202" type="#_x0000_t202" style="position:absolute;left:0pt;margin-top:0pt;height:144pt;width:144pt;mso-position-horizontal:right;mso-position-horizontal-relative:margin;mso-wrap-style:none;z-index:247931904;mso-width-relative:page;mso-height-relative:page;" filled="f" stroked="f" coordsize="21600,21600">
          <v:path/>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
      </w:rPr>
    </w:pPr>
    <w:r>
      <w:rPr>
        <w:sz w:val="2"/>
      </w:rPr>
      <w:pict>
        <v:shape id="_x0000_s2054" o:spid="_x0000_s2054" o:spt="202" type="#_x0000_t202" style="position:absolute;left:0pt;margin-top:0pt;height:144pt;width:144pt;mso-position-horizontal:right;mso-position-horizontal-relative:margin;mso-wrap-style:none;z-index:247932928;mso-width-relative:page;mso-height-relative:page;" filled="f" stroked="f" coordsize="21600,21600">
          <v:path/>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83</w:t>
                </w:r>
                <w:r>
                  <w:rPr>
                    <w:rFonts w:hint="eastAsia"/>
                    <w:lang w:eastAsia="zh-CN"/>
                  </w:rP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w:pict>
        <v:shape id="_x0000_s2056" o:spid="_x0000_s2056" o:spt="202" type="#_x0000_t202" style="position:absolute;left:0pt;margin-top:0pt;height:144pt;width:144pt;mso-position-horizontal:right;mso-position-horizontal-relative:margin;mso-wrap-style:none;z-index:247930880;mso-width-relative:page;mso-height-relative:page;" filled="f" stroked="f" coordsize="21600,21600">
          <v:path/>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w:pict>
        <v:shape id="_x0000_s2057" o:spid="_x0000_s2057" o:spt="202" type="#_x0000_t202" style="position:absolute;left:0pt;margin-top:0pt;height:144pt;width:144pt;mso-position-horizontal:right;mso-position-horizontal-relative:margin;mso-wrap-style:none;z-index:247929856;mso-width-relative:page;mso-height-relative:page;" filled="f" stroked="f" coordsize="21600,21600">
          <v:path/>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w:t>
                </w:r>
                <w:r>
                  <w:rPr>
                    <w:rFonts w:hint="eastAsia"/>
                    <w:lang w:eastAsia="zh-CN"/>
                  </w:rPr>
                  <w:fldChar w:fldCharType="end"/>
                </w:r>
              </w:p>
            </w:txbxContent>
          </v:textbox>
        </v:shape>
      </w:pic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w:pict>
        <v:shape id="_x0000_s2058" o:spid="_x0000_s2058" o:spt="202" type="#_x0000_t202" style="position:absolute;left:0pt;margin-top:0pt;height:144pt;width:144pt;mso-position-horizontal:right;mso-position-horizontal-relative:margin;mso-wrap-style:none;z-index:247930880;mso-width-relative:page;mso-height-relative:page;" filled="f" stroked="f" coordsize="21600,21600">
          <v:path/>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
      </w:rPr>
    </w:pPr>
    <w:r>
      <w:rPr>
        <w:sz w:val="2"/>
      </w:rPr>
      <w:pict>
        <v:shape id="_x0000_s2053" o:spid="_x0000_s2053" o:spt="202" type="#_x0000_t202" style="position:absolute;left:0pt;margin-top:0pt;height:144pt;width:144pt;mso-position-horizontal:right;mso-position-horizontal-relative:margin;mso-wrap-style:none;z-index:247932928;mso-width-relative:page;mso-height-relative:page;" filled="f" stroked="f" coordsize="21600,21600">
          <v:path/>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83</w:t>
                </w:r>
                <w:r>
                  <w:rPr>
                    <w:rFonts w:hint="eastAsia"/>
                    <w:lang w:eastAsia="zh-CN"/>
                  </w:rPr>
                  <w:fldChar w:fldCharType="end"/>
                </w:r>
              </w:p>
            </w:txbxContent>
          </v:textbox>
        </v:shape>
      </w:pic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0167F1C"/>
    <w:multiLevelType w:val="singleLevel"/>
    <w:tmpl w:val="C0167F1C"/>
    <w:lvl w:ilvl="0" w:tentative="0">
      <w:start w:val="1"/>
      <w:numFmt w:val="decimal"/>
      <w:suff w:val="nothing"/>
      <w:lvlText w:val="（%1）"/>
      <w:lvlJc w:val="left"/>
    </w:lvl>
  </w:abstractNum>
  <w:abstractNum w:abstractNumId="1">
    <w:nsid w:val="CF6F3CDB"/>
    <w:multiLevelType w:val="singleLevel"/>
    <w:tmpl w:val="CF6F3CDB"/>
    <w:lvl w:ilvl="0" w:tentative="0">
      <w:start w:val="1"/>
      <w:numFmt w:val="decimal"/>
      <w:suff w:val="nothing"/>
      <w:lvlText w:val="（%1）"/>
      <w:lvlJc w:val="left"/>
    </w:lvl>
  </w:abstractNum>
  <w:abstractNum w:abstractNumId="2">
    <w:nsid w:val="004B7753"/>
    <w:multiLevelType w:val="multilevel"/>
    <w:tmpl w:val="004B7753"/>
    <w:lvl w:ilvl="0" w:tentative="0">
      <w:start w:val="1"/>
      <w:numFmt w:val="japaneseCounting"/>
      <w:lvlText w:val="%1、"/>
      <w:lvlJc w:val="left"/>
      <w:pPr>
        <w:tabs>
          <w:tab w:val="left" w:pos="720"/>
        </w:tabs>
        <w:ind w:left="720" w:hanging="720"/>
      </w:pPr>
      <w:rPr>
        <w:rFonts w:hint="eastAsia"/>
      </w:rPr>
    </w:lvl>
    <w:lvl w:ilvl="1" w:tentative="0">
      <w:start w:val="1"/>
      <w:numFmt w:val="decimal"/>
      <w:lvlText w:val="%2、"/>
      <w:lvlJc w:val="left"/>
      <w:pPr>
        <w:tabs>
          <w:tab w:val="left" w:pos="1140"/>
        </w:tabs>
        <w:ind w:left="1140" w:hanging="720"/>
      </w:pPr>
      <w:rPr>
        <w:rFonts w:hint="eastAsia"/>
      </w:rPr>
    </w:lvl>
    <w:lvl w:ilvl="2" w:tentative="0">
      <w:start w:val="3"/>
      <w:numFmt w:val="japaneseCounting"/>
      <w:lvlText w:val="%3）"/>
      <w:lvlJc w:val="left"/>
      <w:pPr>
        <w:tabs>
          <w:tab w:val="left" w:pos="1560"/>
        </w:tabs>
        <w:ind w:left="1560" w:hanging="720"/>
      </w:pPr>
      <w:rPr>
        <w:rFonts w:hint="eastAsia"/>
      </w:rPr>
    </w:lvl>
    <w:lvl w:ilvl="3" w:tentative="0">
      <w:start w:val="0"/>
      <w:numFmt w:val="bullet"/>
      <w:lvlText w:val="●"/>
      <w:lvlJc w:val="left"/>
      <w:pPr>
        <w:tabs>
          <w:tab w:val="left" w:pos="1620"/>
        </w:tabs>
        <w:ind w:left="1620" w:hanging="360"/>
      </w:pPr>
      <w:rPr>
        <w:rFonts w:hint="eastAsia" w:ascii="宋体" w:hAnsi="宋体" w:eastAsia="宋体" w:cs="Times New Roman"/>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4507588D"/>
    <w:multiLevelType w:val="multilevel"/>
    <w:tmpl w:val="4507588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4E6D99BE"/>
    <w:multiLevelType w:val="singleLevel"/>
    <w:tmpl w:val="4E6D99BE"/>
    <w:lvl w:ilvl="0" w:tentative="0">
      <w:start w:val="1"/>
      <w:numFmt w:val="decimal"/>
      <w:suff w:val="nothing"/>
      <w:lvlText w:val="（%1）"/>
      <w:lvlJc w:val="left"/>
    </w:lvl>
  </w:abstractNum>
  <w:abstractNum w:abstractNumId="5">
    <w:nsid w:val="75867551"/>
    <w:multiLevelType w:val="multilevel"/>
    <w:tmpl w:val="75867551"/>
    <w:lvl w:ilvl="0" w:tentative="0">
      <w:start w:val="1"/>
      <w:numFmt w:val="bullet"/>
      <w:lvlText w:val=""/>
      <w:lvlJc w:val="left"/>
      <w:pPr>
        <w:ind w:left="986" w:hanging="420"/>
      </w:pPr>
      <w:rPr>
        <w:rFonts w:hint="default" w:ascii="Wingdings" w:hAnsi="Wingdings"/>
      </w:rPr>
    </w:lvl>
    <w:lvl w:ilvl="1" w:tentative="0">
      <w:start w:val="1"/>
      <w:numFmt w:val="bullet"/>
      <w:lvlText w:val=""/>
      <w:lvlJc w:val="left"/>
      <w:pPr>
        <w:ind w:left="1406" w:hanging="420"/>
      </w:pPr>
      <w:rPr>
        <w:rFonts w:hint="default" w:ascii="Wingdings" w:hAnsi="Wingdings"/>
      </w:rPr>
    </w:lvl>
    <w:lvl w:ilvl="2" w:tentative="0">
      <w:start w:val="1"/>
      <w:numFmt w:val="bullet"/>
      <w:lvlText w:val=""/>
      <w:lvlJc w:val="left"/>
      <w:pPr>
        <w:ind w:left="1826" w:hanging="420"/>
      </w:pPr>
      <w:rPr>
        <w:rFonts w:hint="default" w:ascii="Wingdings" w:hAnsi="Wingdings"/>
      </w:rPr>
    </w:lvl>
    <w:lvl w:ilvl="3" w:tentative="0">
      <w:start w:val="1"/>
      <w:numFmt w:val="bullet"/>
      <w:lvlText w:val=""/>
      <w:lvlJc w:val="left"/>
      <w:pPr>
        <w:ind w:left="2246" w:hanging="420"/>
      </w:pPr>
      <w:rPr>
        <w:rFonts w:hint="default" w:ascii="Wingdings" w:hAnsi="Wingdings"/>
      </w:rPr>
    </w:lvl>
    <w:lvl w:ilvl="4" w:tentative="0">
      <w:start w:val="1"/>
      <w:numFmt w:val="bullet"/>
      <w:lvlText w:val=""/>
      <w:lvlJc w:val="left"/>
      <w:pPr>
        <w:ind w:left="2666" w:hanging="420"/>
      </w:pPr>
      <w:rPr>
        <w:rFonts w:hint="default" w:ascii="Wingdings" w:hAnsi="Wingdings"/>
      </w:rPr>
    </w:lvl>
    <w:lvl w:ilvl="5" w:tentative="0">
      <w:start w:val="1"/>
      <w:numFmt w:val="bullet"/>
      <w:lvlText w:val=""/>
      <w:lvlJc w:val="left"/>
      <w:pPr>
        <w:ind w:left="3086" w:hanging="420"/>
      </w:pPr>
      <w:rPr>
        <w:rFonts w:hint="default" w:ascii="Wingdings" w:hAnsi="Wingdings"/>
      </w:rPr>
    </w:lvl>
    <w:lvl w:ilvl="6" w:tentative="0">
      <w:start w:val="1"/>
      <w:numFmt w:val="bullet"/>
      <w:lvlText w:val=""/>
      <w:lvlJc w:val="left"/>
      <w:pPr>
        <w:ind w:left="3506" w:hanging="420"/>
      </w:pPr>
      <w:rPr>
        <w:rFonts w:hint="default" w:ascii="Wingdings" w:hAnsi="Wingdings"/>
      </w:rPr>
    </w:lvl>
    <w:lvl w:ilvl="7" w:tentative="0">
      <w:start w:val="1"/>
      <w:numFmt w:val="bullet"/>
      <w:lvlText w:val=""/>
      <w:lvlJc w:val="left"/>
      <w:pPr>
        <w:ind w:left="3926" w:hanging="420"/>
      </w:pPr>
      <w:rPr>
        <w:rFonts w:hint="default" w:ascii="Wingdings" w:hAnsi="Wingdings"/>
      </w:rPr>
    </w:lvl>
    <w:lvl w:ilvl="8" w:tentative="0">
      <w:start w:val="1"/>
      <w:numFmt w:val="bullet"/>
      <w:lvlText w:val=""/>
      <w:lvlJc w:val="left"/>
      <w:pPr>
        <w:ind w:left="4346" w:hanging="420"/>
      </w:pPr>
      <w:rPr>
        <w:rFonts w:hint="default" w:ascii="Wingdings" w:hAnsi="Wingdings"/>
      </w:rPr>
    </w:lvl>
  </w:abstractNum>
  <w:num w:numId="1">
    <w:abstractNumId w:val="4"/>
  </w:num>
  <w:num w:numId="2">
    <w:abstractNumId w:val="1"/>
  </w:num>
  <w:num w:numId="3">
    <w:abstractNumId w:val="3"/>
  </w:num>
  <w:num w:numId="4">
    <w:abstractNumId w:val="2"/>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hdrShapeDefaults>
    <o:shapelayout v:ext="edit">
      <o:idmap v:ext="edit" data="2"/>
    </o:shapelayout>
  </w:hdrShapeDefaults>
  <w:compat>
    <w:ulTrailSpace/>
    <w:doNotExpandShiftReturn/>
    <w:doNotWrapTextWithPunct/>
    <w:doNotUseEastAsianBreakRules/>
    <w:useFELayout/>
    <w:doNotUseIndentAsNumberingTabStop/>
    <w:useAltKinsokuLineBreakRules/>
    <w:compatSetting w:name="compatibilityMode" w:uri="http://schemas.microsoft.com/office/word" w:val="12"/>
  </w:compat>
  <w:rsids>
    <w:rsidRoot w:val="00000000"/>
    <w:rsid w:val="00C472B3"/>
    <w:rsid w:val="00FA6778"/>
    <w:rsid w:val="01370351"/>
    <w:rsid w:val="01655B27"/>
    <w:rsid w:val="01660296"/>
    <w:rsid w:val="019F0D1F"/>
    <w:rsid w:val="01B518D1"/>
    <w:rsid w:val="01C82F28"/>
    <w:rsid w:val="01F83218"/>
    <w:rsid w:val="02300B96"/>
    <w:rsid w:val="027947B5"/>
    <w:rsid w:val="029C7C88"/>
    <w:rsid w:val="02B02D3D"/>
    <w:rsid w:val="02E27EC3"/>
    <w:rsid w:val="02E3588C"/>
    <w:rsid w:val="030614B3"/>
    <w:rsid w:val="030E1E35"/>
    <w:rsid w:val="03330198"/>
    <w:rsid w:val="03331724"/>
    <w:rsid w:val="033E52CE"/>
    <w:rsid w:val="03D04824"/>
    <w:rsid w:val="03DA5553"/>
    <w:rsid w:val="04154934"/>
    <w:rsid w:val="044D6173"/>
    <w:rsid w:val="0478186D"/>
    <w:rsid w:val="04832251"/>
    <w:rsid w:val="04844FE3"/>
    <w:rsid w:val="048B1A35"/>
    <w:rsid w:val="0497176B"/>
    <w:rsid w:val="04A81EB9"/>
    <w:rsid w:val="04C51E02"/>
    <w:rsid w:val="04C56DF2"/>
    <w:rsid w:val="04CC0E51"/>
    <w:rsid w:val="04DD1D1B"/>
    <w:rsid w:val="04F15DE1"/>
    <w:rsid w:val="04F17BC1"/>
    <w:rsid w:val="050B44C2"/>
    <w:rsid w:val="05243849"/>
    <w:rsid w:val="05A45147"/>
    <w:rsid w:val="05EF4B33"/>
    <w:rsid w:val="062C64A4"/>
    <w:rsid w:val="066A7E6B"/>
    <w:rsid w:val="068B08AD"/>
    <w:rsid w:val="06B643EA"/>
    <w:rsid w:val="06DB21A1"/>
    <w:rsid w:val="07141975"/>
    <w:rsid w:val="07406771"/>
    <w:rsid w:val="076C6F40"/>
    <w:rsid w:val="076E5547"/>
    <w:rsid w:val="077B4EEB"/>
    <w:rsid w:val="07946E53"/>
    <w:rsid w:val="07AA7BFE"/>
    <w:rsid w:val="07C00603"/>
    <w:rsid w:val="07C832DB"/>
    <w:rsid w:val="07C848F3"/>
    <w:rsid w:val="07E37DA0"/>
    <w:rsid w:val="08331509"/>
    <w:rsid w:val="08480933"/>
    <w:rsid w:val="085B4447"/>
    <w:rsid w:val="090573BF"/>
    <w:rsid w:val="097C0216"/>
    <w:rsid w:val="098050F1"/>
    <w:rsid w:val="0A025711"/>
    <w:rsid w:val="0A8A7385"/>
    <w:rsid w:val="0A9440BD"/>
    <w:rsid w:val="0ACA1904"/>
    <w:rsid w:val="0ADD483A"/>
    <w:rsid w:val="0AF86AF9"/>
    <w:rsid w:val="0B2666A2"/>
    <w:rsid w:val="0B7C067A"/>
    <w:rsid w:val="0BB50B34"/>
    <w:rsid w:val="0BDF0CBE"/>
    <w:rsid w:val="0C07126C"/>
    <w:rsid w:val="0C396690"/>
    <w:rsid w:val="0C477F81"/>
    <w:rsid w:val="0C6B5B70"/>
    <w:rsid w:val="0C766C82"/>
    <w:rsid w:val="0C847573"/>
    <w:rsid w:val="0CF830F9"/>
    <w:rsid w:val="0D157414"/>
    <w:rsid w:val="0D206BFD"/>
    <w:rsid w:val="0D607B26"/>
    <w:rsid w:val="0D6E2CD8"/>
    <w:rsid w:val="0D970A4D"/>
    <w:rsid w:val="0DC13199"/>
    <w:rsid w:val="0DCB0456"/>
    <w:rsid w:val="0DEB0556"/>
    <w:rsid w:val="0DF06D27"/>
    <w:rsid w:val="0E0F493D"/>
    <w:rsid w:val="0E367E8A"/>
    <w:rsid w:val="0E44174A"/>
    <w:rsid w:val="0E4D2408"/>
    <w:rsid w:val="0E801C7C"/>
    <w:rsid w:val="0E951773"/>
    <w:rsid w:val="0E981AB8"/>
    <w:rsid w:val="0EAB3B80"/>
    <w:rsid w:val="0EBA5B02"/>
    <w:rsid w:val="0EC4591C"/>
    <w:rsid w:val="0ED25625"/>
    <w:rsid w:val="0F312211"/>
    <w:rsid w:val="0F550839"/>
    <w:rsid w:val="0FDD351F"/>
    <w:rsid w:val="101A7F25"/>
    <w:rsid w:val="102B1551"/>
    <w:rsid w:val="102D607C"/>
    <w:rsid w:val="102F351C"/>
    <w:rsid w:val="103A4A1B"/>
    <w:rsid w:val="10740C6F"/>
    <w:rsid w:val="107C7407"/>
    <w:rsid w:val="107D245C"/>
    <w:rsid w:val="109B44C7"/>
    <w:rsid w:val="119F5709"/>
    <w:rsid w:val="11B13E06"/>
    <w:rsid w:val="11C81E09"/>
    <w:rsid w:val="1271715A"/>
    <w:rsid w:val="128123F4"/>
    <w:rsid w:val="1298205D"/>
    <w:rsid w:val="1299065F"/>
    <w:rsid w:val="12AF4D72"/>
    <w:rsid w:val="12CC3CEF"/>
    <w:rsid w:val="12F0641A"/>
    <w:rsid w:val="131717EB"/>
    <w:rsid w:val="13187D10"/>
    <w:rsid w:val="136F6BD9"/>
    <w:rsid w:val="137D2C88"/>
    <w:rsid w:val="13B16B0F"/>
    <w:rsid w:val="14210738"/>
    <w:rsid w:val="145005F4"/>
    <w:rsid w:val="14971546"/>
    <w:rsid w:val="14997437"/>
    <w:rsid w:val="14E37651"/>
    <w:rsid w:val="151531E6"/>
    <w:rsid w:val="151D43B0"/>
    <w:rsid w:val="152F4DCE"/>
    <w:rsid w:val="15917440"/>
    <w:rsid w:val="15951979"/>
    <w:rsid w:val="15DB6FBD"/>
    <w:rsid w:val="15DB7CF6"/>
    <w:rsid w:val="15DE4B7A"/>
    <w:rsid w:val="15E800CE"/>
    <w:rsid w:val="16790F77"/>
    <w:rsid w:val="16923B21"/>
    <w:rsid w:val="16B2445B"/>
    <w:rsid w:val="1706165E"/>
    <w:rsid w:val="174225F7"/>
    <w:rsid w:val="17470819"/>
    <w:rsid w:val="17580B04"/>
    <w:rsid w:val="17585BDB"/>
    <w:rsid w:val="17944CFD"/>
    <w:rsid w:val="17D71B2C"/>
    <w:rsid w:val="17EA7AEA"/>
    <w:rsid w:val="17ED1A0B"/>
    <w:rsid w:val="17FC30E0"/>
    <w:rsid w:val="183A5E25"/>
    <w:rsid w:val="183F38A6"/>
    <w:rsid w:val="186E572C"/>
    <w:rsid w:val="1876363D"/>
    <w:rsid w:val="18765560"/>
    <w:rsid w:val="18A32FC6"/>
    <w:rsid w:val="18A85178"/>
    <w:rsid w:val="18F20426"/>
    <w:rsid w:val="18F43899"/>
    <w:rsid w:val="190712DF"/>
    <w:rsid w:val="194E1B63"/>
    <w:rsid w:val="1955172A"/>
    <w:rsid w:val="197561E8"/>
    <w:rsid w:val="1A083BD8"/>
    <w:rsid w:val="1A3E5A18"/>
    <w:rsid w:val="1A591E78"/>
    <w:rsid w:val="1A704E64"/>
    <w:rsid w:val="1A810D12"/>
    <w:rsid w:val="1A942A4F"/>
    <w:rsid w:val="1ABD7151"/>
    <w:rsid w:val="1ACA4E84"/>
    <w:rsid w:val="1ADA0BF2"/>
    <w:rsid w:val="1ADB735D"/>
    <w:rsid w:val="1B152CE8"/>
    <w:rsid w:val="1B1F5431"/>
    <w:rsid w:val="1B610A44"/>
    <w:rsid w:val="1B6D55C0"/>
    <w:rsid w:val="1B7E4553"/>
    <w:rsid w:val="1BAF38A5"/>
    <w:rsid w:val="1BBE0904"/>
    <w:rsid w:val="1BC948FE"/>
    <w:rsid w:val="1BDC02E3"/>
    <w:rsid w:val="1BE058D2"/>
    <w:rsid w:val="1BE4455F"/>
    <w:rsid w:val="1C136A31"/>
    <w:rsid w:val="1C6841A8"/>
    <w:rsid w:val="1CAE0B1B"/>
    <w:rsid w:val="1CB65BC0"/>
    <w:rsid w:val="1CB923A5"/>
    <w:rsid w:val="1CD6280B"/>
    <w:rsid w:val="1D264EB4"/>
    <w:rsid w:val="1D291BE7"/>
    <w:rsid w:val="1D371F5A"/>
    <w:rsid w:val="1D61394C"/>
    <w:rsid w:val="1DA25917"/>
    <w:rsid w:val="1DC1269E"/>
    <w:rsid w:val="1DD52CC6"/>
    <w:rsid w:val="1DF675D6"/>
    <w:rsid w:val="1E815121"/>
    <w:rsid w:val="1EB075F7"/>
    <w:rsid w:val="1EEA5802"/>
    <w:rsid w:val="1F030D77"/>
    <w:rsid w:val="1F041211"/>
    <w:rsid w:val="1F234D92"/>
    <w:rsid w:val="1F771C97"/>
    <w:rsid w:val="1FAE4E74"/>
    <w:rsid w:val="1FB54E08"/>
    <w:rsid w:val="201D5965"/>
    <w:rsid w:val="205E248B"/>
    <w:rsid w:val="206A73CB"/>
    <w:rsid w:val="206C50DD"/>
    <w:rsid w:val="206D0E54"/>
    <w:rsid w:val="207642CD"/>
    <w:rsid w:val="20777508"/>
    <w:rsid w:val="20784E0D"/>
    <w:rsid w:val="20C80816"/>
    <w:rsid w:val="20FD3179"/>
    <w:rsid w:val="215158C4"/>
    <w:rsid w:val="216419FC"/>
    <w:rsid w:val="2165335A"/>
    <w:rsid w:val="218D21C9"/>
    <w:rsid w:val="219F6462"/>
    <w:rsid w:val="21BD5D2C"/>
    <w:rsid w:val="21E95CF4"/>
    <w:rsid w:val="220D3FA4"/>
    <w:rsid w:val="222130A3"/>
    <w:rsid w:val="22C9770B"/>
    <w:rsid w:val="22CF0800"/>
    <w:rsid w:val="22EA1E09"/>
    <w:rsid w:val="231371DC"/>
    <w:rsid w:val="23321357"/>
    <w:rsid w:val="233F248C"/>
    <w:rsid w:val="23602F01"/>
    <w:rsid w:val="236A5E50"/>
    <w:rsid w:val="23AC2705"/>
    <w:rsid w:val="23C34886"/>
    <w:rsid w:val="23D21475"/>
    <w:rsid w:val="24120637"/>
    <w:rsid w:val="2439523A"/>
    <w:rsid w:val="246D2741"/>
    <w:rsid w:val="24752CF6"/>
    <w:rsid w:val="247F0F56"/>
    <w:rsid w:val="24A01A85"/>
    <w:rsid w:val="24D2536A"/>
    <w:rsid w:val="252752FB"/>
    <w:rsid w:val="252D1302"/>
    <w:rsid w:val="254E5756"/>
    <w:rsid w:val="2550643F"/>
    <w:rsid w:val="25B32AC1"/>
    <w:rsid w:val="25D657DF"/>
    <w:rsid w:val="26344429"/>
    <w:rsid w:val="266C2A4C"/>
    <w:rsid w:val="26704E1C"/>
    <w:rsid w:val="26721F38"/>
    <w:rsid w:val="267603A0"/>
    <w:rsid w:val="26D11396"/>
    <w:rsid w:val="2706021C"/>
    <w:rsid w:val="274F5A27"/>
    <w:rsid w:val="27883E13"/>
    <w:rsid w:val="278D233E"/>
    <w:rsid w:val="281778E7"/>
    <w:rsid w:val="28226C38"/>
    <w:rsid w:val="28661F39"/>
    <w:rsid w:val="289C18FA"/>
    <w:rsid w:val="28C35034"/>
    <w:rsid w:val="28DF07A7"/>
    <w:rsid w:val="28FF1A56"/>
    <w:rsid w:val="29033172"/>
    <w:rsid w:val="2909342F"/>
    <w:rsid w:val="291865B6"/>
    <w:rsid w:val="29214AE2"/>
    <w:rsid w:val="296D6CBD"/>
    <w:rsid w:val="29830D82"/>
    <w:rsid w:val="29B70A10"/>
    <w:rsid w:val="29D4513A"/>
    <w:rsid w:val="2A12486D"/>
    <w:rsid w:val="2A293892"/>
    <w:rsid w:val="2A551B07"/>
    <w:rsid w:val="2A5F5937"/>
    <w:rsid w:val="2A7079B1"/>
    <w:rsid w:val="2A86546F"/>
    <w:rsid w:val="2B1816F8"/>
    <w:rsid w:val="2B582F98"/>
    <w:rsid w:val="2B596743"/>
    <w:rsid w:val="2B6A46D1"/>
    <w:rsid w:val="2B7401F5"/>
    <w:rsid w:val="2BA5054D"/>
    <w:rsid w:val="2BAD56FE"/>
    <w:rsid w:val="2BAE0E46"/>
    <w:rsid w:val="2BEA74E6"/>
    <w:rsid w:val="2C065023"/>
    <w:rsid w:val="2C0A5912"/>
    <w:rsid w:val="2C480962"/>
    <w:rsid w:val="2C675CFB"/>
    <w:rsid w:val="2C9A2E84"/>
    <w:rsid w:val="2CAD1316"/>
    <w:rsid w:val="2CC02B01"/>
    <w:rsid w:val="2CD21C0C"/>
    <w:rsid w:val="2CE949DA"/>
    <w:rsid w:val="2D125865"/>
    <w:rsid w:val="2D445609"/>
    <w:rsid w:val="2D4F05E9"/>
    <w:rsid w:val="2D6430C8"/>
    <w:rsid w:val="2D797190"/>
    <w:rsid w:val="2D8E4001"/>
    <w:rsid w:val="2D94731B"/>
    <w:rsid w:val="2DA173AD"/>
    <w:rsid w:val="2DE63CAC"/>
    <w:rsid w:val="2E1B0281"/>
    <w:rsid w:val="2E200A30"/>
    <w:rsid w:val="2E43338B"/>
    <w:rsid w:val="2E746F36"/>
    <w:rsid w:val="2E8B08D3"/>
    <w:rsid w:val="2ECA1A3F"/>
    <w:rsid w:val="2EFC3D81"/>
    <w:rsid w:val="2F0904C5"/>
    <w:rsid w:val="2F2A6B67"/>
    <w:rsid w:val="2F53487E"/>
    <w:rsid w:val="2F5B066F"/>
    <w:rsid w:val="2F6A6CEF"/>
    <w:rsid w:val="2F7B5C72"/>
    <w:rsid w:val="2FB563EC"/>
    <w:rsid w:val="2FC07753"/>
    <w:rsid w:val="30241021"/>
    <w:rsid w:val="30357B53"/>
    <w:rsid w:val="30554D50"/>
    <w:rsid w:val="308E62CE"/>
    <w:rsid w:val="30A1166B"/>
    <w:rsid w:val="30B106E2"/>
    <w:rsid w:val="30CB365C"/>
    <w:rsid w:val="30ED5E17"/>
    <w:rsid w:val="310E19E2"/>
    <w:rsid w:val="31432B9C"/>
    <w:rsid w:val="314D0945"/>
    <w:rsid w:val="31556FE6"/>
    <w:rsid w:val="31595E57"/>
    <w:rsid w:val="317A428C"/>
    <w:rsid w:val="31FB402E"/>
    <w:rsid w:val="320F34B4"/>
    <w:rsid w:val="321C386E"/>
    <w:rsid w:val="32254710"/>
    <w:rsid w:val="322A2954"/>
    <w:rsid w:val="32522ECA"/>
    <w:rsid w:val="32A22318"/>
    <w:rsid w:val="32C12CB1"/>
    <w:rsid w:val="32CC5684"/>
    <w:rsid w:val="330A7CEF"/>
    <w:rsid w:val="33296C1F"/>
    <w:rsid w:val="33670F11"/>
    <w:rsid w:val="33913391"/>
    <w:rsid w:val="33B2136C"/>
    <w:rsid w:val="33BD049E"/>
    <w:rsid w:val="33E2177A"/>
    <w:rsid w:val="33EC4635"/>
    <w:rsid w:val="33FF5B1E"/>
    <w:rsid w:val="340E5100"/>
    <w:rsid w:val="341F6681"/>
    <w:rsid w:val="346F183D"/>
    <w:rsid w:val="34B510C9"/>
    <w:rsid w:val="34CF74F9"/>
    <w:rsid w:val="34EA5236"/>
    <w:rsid w:val="34FF48F2"/>
    <w:rsid w:val="35303148"/>
    <w:rsid w:val="35405325"/>
    <w:rsid w:val="355C4A10"/>
    <w:rsid w:val="35666717"/>
    <w:rsid w:val="35E26296"/>
    <w:rsid w:val="35EF2E60"/>
    <w:rsid w:val="35F15430"/>
    <w:rsid w:val="35F8542F"/>
    <w:rsid w:val="35FD1373"/>
    <w:rsid w:val="3607349C"/>
    <w:rsid w:val="36236A6A"/>
    <w:rsid w:val="36362A19"/>
    <w:rsid w:val="36A62E20"/>
    <w:rsid w:val="36A94634"/>
    <w:rsid w:val="36C54EA0"/>
    <w:rsid w:val="36F3117C"/>
    <w:rsid w:val="36FE1966"/>
    <w:rsid w:val="372D4EDE"/>
    <w:rsid w:val="37872A3C"/>
    <w:rsid w:val="37904406"/>
    <w:rsid w:val="37AD7568"/>
    <w:rsid w:val="37B75340"/>
    <w:rsid w:val="37CB6B58"/>
    <w:rsid w:val="37D21151"/>
    <w:rsid w:val="38042FA2"/>
    <w:rsid w:val="380A6157"/>
    <w:rsid w:val="3830375F"/>
    <w:rsid w:val="38FF2970"/>
    <w:rsid w:val="393656B5"/>
    <w:rsid w:val="3963529B"/>
    <w:rsid w:val="399C6E20"/>
    <w:rsid w:val="399E419D"/>
    <w:rsid w:val="3A083D14"/>
    <w:rsid w:val="3A092C96"/>
    <w:rsid w:val="3A702AF7"/>
    <w:rsid w:val="3A7210D0"/>
    <w:rsid w:val="3AAD7B08"/>
    <w:rsid w:val="3AC20D63"/>
    <w:rsid w:val="3AC60581"/>
    <w:rsid w:val="3ADA18B1"/>
    <w:rsid w:val="3B037EF4"/>
    <w:rsid w:val="3B087F8B"/>
    <w:rsid w:val="3B346384"/>
    <w:rsid w:val="3B5770EA"/>
    <w:rsid w:val="3B5B358A"/>
    <w:rsid w:val="3B5F2D04"/>
    <w:rsid w:val="3B896E17"/>
    <w:rsid w:val="3BFF7550"/>
    <w:rsid w:val="3C09540A"/>
    <w:rsid w:val="3C3D7504"/>
    <w:rsid w:val="3CA43C4D"/>
    <w:rsid w:val="3CB240B4"/>
    <w:rsid w:val="3CF339EE"/>
    <w:rsid w:val="3CFF45C3"/>
    <w:rsid w:val="3D2012A6"/>
    <w:rsid w:val="3D5E7DBD"/>
    <w:rsid w:val="3D743F5A"/>
    <w:rsid w:val="3D7F3C72"/>
    <w:rsid w:val="3D7F6401"/>
    <w:rsid w:val="3D840914"/>
    <w:rsid w:val="3DBA2511"/>
    <w:rsid w:val="3E653331"/>
    <w:rsid w:val="3EAA54F5"/>
    <w:rsid w:val="3EAB6812"/>
    <w:rsid w:val="3ED971B9"/>
    <w:rsid w:val="3EE11467"/>
    <w:rsid w:val="3F07151A"/>
    <w:rsid w:val="3F1326CA"/>
    <w:rsid w:val="3F1D6390"/>
    <w:rsid w:val="3F7E46A4"/>
    <w:rsid w:val="4017488F"/>
    <w:rsid w:val="403E1650"/>
    <w:rsid w:val="40464190"/>
    <w:rsid w:val="404853E1"/>
    <w:rsid w:val="406F088A"/>
    <w:rsid w:val="407D50C0"/>
    <w:rsid w:val="40996395"/>
    <w:rsid w:val="40B07884"/>
    <w:rsid w:val="40B976D3"/>
    <w:rsid w:val="40BE4392"/>
    <w:rsid w:val="40CF6523"/>
    <w:rsid w:val="412A21CC"/>
    <w:rsid w:val="412F7B4D"/>
    <w:rsid w:val="413149D1"/>
    <w:rsid w:val="41410C27"/>
    <w:rsid w:val="414A7A76"/>
    <w:rsid w:val="414C2547"/>
    <w:rsid w:val="418A4D77"/>
    <w:rsid w:val="41F97767"/>
    <w:rsid w:val="42112A25"/>
    <w:rsid w:val="421F2974"/>
    <w:rsid w:val="427D7E00"/>
    <w:rsid w:val="429B034A"/>
    <w:rsid w:val="42B61D40"/>
    <w:rsid w:val="42BA149F"/>
    <w:rsid w:val="42DB7613"/>
    <w:rsid w:val="43144065"/>
    <w:rsid w:val="43464968"/>
    <w:rsid w:val="43576DA0"/>
    <w:rsid w:val="43A756BA"/>
    <w:rsid w:val="43A9793D"/>
    <w:rsid w:val="43D26224"/>
    <w:rsid w:val="43DC1020"/>
    <w:rsid w:val="440D2F03"/>
    <w:rsid w:val="44C91F4C"/>
    <w:rsid w:val="450276D1"/>
    <w:rsid w:val="450F5280"/>
    <w:rsid w:val="45167E29"/>
    <w:rsid w:val="453E30E8"/>
    <w:rsid w:val="45564560"/>
    <w:rsid w:val="456723B1"/>
    <w:rsid w:val="458B3637"/>
    <w:rsid w:val="45AF6B80"/>
    <w:rsid w:val="45B30776"/>
    <w:rsid w:val="45CF4B6E"/>
    <w:rsid w:val="45EF3E64"/>
    <w:rsid w:val="46150DA1"/>
    <w:rsid w:val="46424898"/>
    <w:rsid w:val="46E53683"/>
    <w:rsid w:val="47003AE4"/>
    <w:rsid w:val="471065B4"/>
    <w:rsid w:val="47137575"/>
    <w:rsid w:val="47266ACE"/>
    <w:rsid w:val="473E6267"/>
    <w:rsid w:val="475837C9"/>
    <w:rsid w:val="476C782A"/>
    <w:rsid w:val="477E6746"/>
    <w:rsid w:val="478847F4"/>
    <w:rsid w:val="47A77C7A"/>
    <w:rsid w:val="47AE6D56"/>
    <w:rsid w:val="47AF6033"/>
    <w:rsid w:val="47F670D6"/>
    <w:rsid w:val="48092EFE"/>
    <w:rsid w:val="484378BE"/>
    <w:rsid w:val="485D2C90"/>
    <w:rsid w:val="489E73B1"/>
    <w:rsid w:val="48AB38A7"/>
    <w:rsid w:val="48C379AD"/>
    <w:rsid w:val="48D63D59"/>
    <w:rsid w:val="48F038C9"/>
    <w:rsid w:val="48FB4AAA"/>
    <w:rsid w:val="49075FBA"/>
    <w:rsid w:val="491B26F2"/>
    <w:rsid w:val="49230372"/>
    <w:rsid w:val="4936226F"/>
    <w:rsid w:val="493D3875"/>
    <w:rsid w:val="497260F8"/>
    <w:rsid w:val="49BB5A3F"/>
    <w:rsid w:val="49D866CE"/>
    <w:rsid w:val="49D86BA1"/>
    <w:rsid w:val="49FA2A5A"/>
    <w:rsid w:val="49FD7478"/>
    <w:rsid w:val="4A2D6DAC"/>
    <w:rsid w:val="4A31187E"/>
    <w:rsid w:val="4A311CB8"/>
    <w:rsid w:val="4A7023CF"/>
    <w:rsid w:val="4AB860A9"/>
    <w:rsid w:val="4AD830E0"/>
    <w:rsid w:val="4AFA2FA8"/>
    <w:rsid w:val="4B0D503F"/>
    <w:rsid w:val="4B1E14C9"/>
    <w:rsid w:val="4B6E4E8B"/>
    <w:rsid w:val="4B7D0D76"/>
    <w:rsid w:val="4B9538B5"/>
    <w:rsid w:val="4BA92619"/>
    <w:rsid w:val="4BD2100C"/>
    <w:rsid w:val="4BFE4A29"/>
    <w:rsid w:val="4C111C5B"/>
    <w:rsid w:val="4C49577F"/>
    <w:rsid w:val="4C5603C3"/>
    <w:rsid w:val="4C713C17"/>
    <w:rsid w:val="4C9C68F2"/>
    <w:rsid w:val="4CDC5E3E"/>
    <w:rsid w:val="4D252214"/>
    <w:rsid w:val="4D330F97"/>
    <w:rsid w:val="4D494698"/>
    <w:rsid w:val="4D6A63C8"/>
    <w:rsid w:val="4D7C078A"/>
    <w:rsid w:val="4D823501"/>
    <w:rsid w:val="4DD83815"/>
    <w:rsid w:val="4DDA0253"/>
    <w:rsid w:val="4DDB7215"/>
    <w:rsid w:val="4DE50D42"/>
    <w:rsid w:val="4E5D79DC"/>
    <w:rsid w:val="4E78034B"/>
    <w:rsid w:val="4EA95F88"/>
    <w:rsid w:val="4EB82BEB"/>
    <w:rsid w:val="4EB91E46"/>
    <w:rsid w:val="4F17508A"/>
    <w:rsid w:val="4F20184F"/>
    <w:rsid w:val="4F3C14DB"/>
    <w:rsid w:val="4F567CEC"/>
    <w:rsid w:val="4F7A31BF"/>
    <w:rsid w:val="4FB6537F"/>
    <w:rsid w:val="4FC90505"/>
    <w:rsid w:val="4FCF1CEC"/>
    <w:rsid w:val="4FE23F6A"/>
    <w:rsid w:val="4FE51B96"/>
    <w:rsid w:val="503F1AE8"/>
    <w:rsid w:val="505C0E34"/>
    <w:rsid w:val="506E4CFB"/>
    <w:rsid w:val="507B311F"/>
    <w:rsid w:val="509F71A1"/>
    <w:rsid w:val="50AE1137"/>
    <w:rsid w:val="50D56A42"/>
    <w:rsid w:val="50E74053"/>
    <w:rsid w:val="50EE5C86"/>
    <w:rsid w:val="50FA45E8"/>
    <w:rsid w:val="51295AB7"/>
    <w:rsid w:val="51417E7C"/>
    <w:rsid w:val="517274C0"/>
    <w:rsid w:val="51CA7C63"/>
    <w:rsid w:val="51E615AB"/>
    <w:rsid w:val="52081600"/>
    <w:rsid w:val="52285C7C"/>
    <w:rsid w:val="523C372E"/>
    <w:rsid w:val="52695A19"/>
    <w:rsid w:val="527A7546"/>
    <w:rsid w:val="528C3606"/>
    <w:rsid w:val="53267CD9"/>
    <w:rsid w:val="532B6374"/>
    <w:rsid w:val="535F73E2"/>
    <w:rsid w:val="53AB45B2"/>
    <w:rsid w:val="53B601E6"/>
    <w:rsid w:val="53B60CD9"/>
    <w:rsid w:val="53D56B37"/>
    <w:rsid w:val="53E774F9"/>
    <w:rsid w:val="54041E5B"/>
    <w:rsid w:val="54520555"/>
    <w:rsid w:val="546A60C6"/>
    <w:rsid w:val="54710C27"/>
    <w:rsid w:val="54CB496F"/>
    <w:rsid w:val="54D52A80"/>
    <w:rsid w:val="551D2405"/>
    <w:rsid w:val="55220657"/>
    <w:rsid w:val="556D7D26"/>
    <w:rsid w:val="557031CD"/>
    <w:rsid w:val="559B15D6"/>
    <w:rsid w:val="55C7653B"/>
    <w:rsid w:val="55D35059"/>
    <w:rsid w:val="5609485E"/>
    <w:rsid w:val="56800EAB"/>
    <w:rsid w:val="568632F5"/>
    <w:rsid w:val="56B63F44"/>
    <w:rsid w:val="56C80F00"/>
    <w:rsid w:val="56F55074"/>
    <w:rsid w:val="571A6E94"/>
    <w:rsid w:val="575E6BCE"/>
    <w:rsid w:val="576D6B5E"/>
    <w:rsid w:val="577F2104"/>
    <w:rsid w:val="5780025C"/>
    <w:rsid w:val="57995A13"/>
    <w:rsid w:val="57E51EB3"/>
    <w:rsid w:val="58031D16"/>
    <w:rsid w:val="586B677E"/>
    <w:rsid w:val="58A33865"/>
    <w:rsid w:val="58CF490F"/>
    <w:rsid w:val="59061E32"/>
    <w:rsid w:val="591A650E"/>
    <w:rsid w:val="59362D05"/>
    <w:rsid w:val="5A136490"/>
    <w:rsid w:val="5A6A523B"/>
    <w:rsid w:val="5AA51A36"/>
    <w:rsid w:val="5AFF553E"/>
    <w:rsid w:val="5B0C3A24"/>
    <w:rsid w:val="5B150264"/>
    <w:rsid w:val="5B22488A"/>
    <w:rsid w:val="5BA72429"/>
    <w:rsid w:val="5BBC6CAF"/>
    <w:rsid w:val="5C683AA2"/>
    <w:rsid w:val="5C835D97"/>
    <w:rsid w:val="5CA02472"/>
    <w:rsid w:val="5CA06A84"/>
    <w:rsid w:val="5CA466A5"/>
    <w:rsid w:val="5CA53E5A"/>
    <w:rsid w:val="5CB12703"/>
    <w:rsid w:val="5CCB6A9C"/>
    <w:rsid w:val="5CE15D5B"/>
    <w:rsid w:val="5CF334B6"/>
    <w:rsid w:val="5D487369"/>
    <w:rsid w:val="5D4B2D42"/>
    <w:rsid w:val="5D604111"/>
    <w:rsid w:val="5D7A5B0B"/>
    <w:rsid w:val="5D7D0F3E"/>
    <w:rsid w:val="5D90249D"/>
    <w:rsid w:val="5D9B5278"/>
    <w:rsid w:val="5D9E4417"/>
    <w:rsid w:val="5DAE1FCC"/>
    <w:rsid w:val="5E0601F8"/>
    <w:rsid w:val="5E0606DB"/>
    <w:rsid w:val="5E361859"/>
    <w:rsid w:val="5E39229C"/>
    <w:rsid w:val="5E3B68AD"/>
    <w:rsid w:val="5E413253"/>
    <w:rsid w:val="5E543FC6"/>
    <w:rsid w:val="5E5E38AA"/>
    <w:rsid w:val="5E762DFB"/>
    <w:rsid w:val="5E9158F4"/>
    <w:rsid w:val="5E9577B7"/>
    <w:rsid w:val="5F060E35"/>
    <w:rsid w:val="5F3B056A"/>
    <w:rsid w:val="5F4558FA"/>
    <w:rsid w:val="5F71613E"/>
    <w:rsid w:val="60435357"/>
    <w:rsid w:val="604C1970"/>
    <w:rsid w:val="604D6CFB"/>
    <w:rsid w:val="60575903"/>
    <w:rsid w:val="605E2FBF"/>
    <w:rsid w:val="60777D49"/>
    <w:rsid w:val="60811343"/>
    <w:rsid w:val="609451E4"/>
    <w:rsid w:val="60AF3EC8"/>
    <w:rsid w:val="60B542AF"/>
    <w:rsid w:val="60C0217C"/>
    <w:rsid w:val="60FD0C51"/>
    <w:rsid w:val="61017227"/>
    <w:rsid w:val="612E6BFD"/>
    <w:rsid w:val="612F1EDF"/>
    <w:rsid w:val="615E0613"/>
    <w:rsid w:val="618047C2"/>
    <w:rsid w:val="61C16CEF"/>
    <w:rsid w:val="61CE693B"/>
    <w:rsid w:val="61E545CA"/>
    <w:rsid w:val="620A1DEF"/>
    <w:rsid w:val="621F6B17"/>
    <w:rsid w:val="622039A2"/>
    <w:rsid w:val="62220CA2"/>
    <w:rsid w:val="623D051C"/>
    <w:rsid w:val="627E6270"/>
    <w:rsid w:val="627E6E37"/>
    <w:rsid w:val="62D14EAA"/>
    <w:rsid w:val="62D92238"/>
    <w:rsid w:val="62DD00FF"/>
    <w:rsid w:val="62FC5EFC"/>
    <w:rsid w:val="6305214B"/>
    <w:rsid w:val="630E7E72"/>
    <w:rsid w:val="632569FD"/>
    <w:rsid w:val="633E0B11"/>
    <w:rsid w:val="6344627C"/>
    <w:rsid w:val="63CA3A89"/>
    <w:rsid w:val="63F35CF0"/>
    <w:rsid w:val="63FA6A18"/>
    <w:rsid w:val="64593109"/>
    <w:rsid w:val="6476613B"/>
    <w:rsid w:val="647D21E2"/>
    <w:rsid w:val="648C3108"/>
    <w:rsid w:val="64E70138"/>
    <w:rsid w:val="64E81DD0"/>
    <w:rsid w:val="6504529C"/>
    <w:rsid w:val="65233832"/>
    <w:rsid w:val="652460A9"/>
    <w:rsid w:val="65312783"/>
    <w:rsid w:val="653219A8"/>
    <w:rsid w:val="65341306"/>
    <w:rsid w:val="657D6A20"/>
    <w:rsid w:val="65A83BF3"/>
    <w:rsid w:val="65A92704"/>
    <w:rsid w:val="65B32DC1"/>
    <w:rsid w:val="65BC277A"/>
    <w:rsid w:val="65BF5B48"/>
    <w:rsid w:val="6601624D"/>
    <w:rsid w:val="662221EA"/>
    <w:rsid w:val="662924C5"/>
    <w:rsid w:val="66395FFE"/>
    <w:rsid w:val="668E06EC"/>
    <w:rsid w:val="66E233FB"/>
    <w:rsid w:val="67113783"/>
    <w:rsid w:val="673512E1"/>
    <w:rsid w:val="67A47F8A"/>
    <w:rsid w:val="67BE2FD0"/>
    <w:rsid w:val="67C306C3"/>
    <w:rsid w:val="68100359"/>
    <w:rsid w:val="68205C6D"/>
    <w:rsid w:val="687930C1"/>
    <w:rsid w:val="68AD07B3"/>
    <w:rsid w:val="68B52E13"/>
    <w:rsid w:val="68FF39AE"/>
    <w:rsid w:val="692D51D8"/>
    <w:rsid w:val="69392D93"/>
    <w:rsid w:val="69911EF3"/>
    <w:rsid w:val="69F45652"/>
    <w:rsid w:val="6A2B3A71"/>
    <w:rsid w:val="6A370BE2"/>
    <w:rsid w:val="6A440FA0"/>
    <w:rsid w:val="6A720A05"/>
    <w:rsid w:val="6A7773FC"/>
    <w:rsid w:val="6B0170A8"/>
    <w:rsid w:val="6B192E97"/>
    <w:rsid w:val="6B461095"/>
    <w:rsid w:val="6B59140A"/>
    <w:rsid w:val="6B5A3277"/>
    <w:rsid w:val="6B8110E4"/>
    <w:rsid w:val="6B8A4EB6"/>
    <w:rsid w:val="6BE63A3D"/>
    <w:rsid w:val="6C5D64D5"/>
    <w:rsid w:val="6C7C1B3A"/>
    <w:rsid w:val="6CA86BEC"/>
    <w:rsid w:val="6CB606F9"/>
    <w:rsid w:val="6CC917B9"/>
    <w:rsid w:val="6CEC499D"/>
    <w:rsid w:val="6D051D75"/>
    <w:rsid w:val="6D0822F2"/>
    <w:rsid w:val="6D0F743B"/>
    <w:rsid w:val="6D1D3F71"/>
    <w:rsid w:val="6D9074A8"/>
    <w:rsid w:val="6DE5379D"/>
    <w:rsid w:val="6DE71D33"/>
    <w:rsid w:val="6E244ACF"/>
    <w:rsid w:val="6E5D49E2"/>
    <w:rsid w:val="6E880935"/>
    <w:rsid w:val="6E8D3D8F"/>
    <w:rsid w:val="6E9126C6"/>
    <w:rsid w:val="6EFA6DD3"/>
    <w:rsid w:val="6F391512"/>
    <w:rsid w:val="6F563C6C"/>
    <w:rsid w:val="6F6039FE"/>
    <w:rsid w:val="6F6710CA"/>
    <w:rsid w:val="6F714116"/>
    <w:rsid w:val="6F987195"/>
    <w:rsid w:val="6FA16DE1"/>
    <w:rsid w:val="6FBE62B4"/>
    <w:rsid w:val="6FDB7A01"/>
    <w:rsid w:val="70156115"/>
    <w:rsid w:val="70251EFE"/>
    <w:rsid w:val="704C34DD"/>
    <w:rsid w:val="707A3927"/>
    <w:rsid w:val="709B2A8B"/>
    <w:rsid w:val="70AC1FC6"/>
    <w:rsid w:val="70C95733"/>
    <w:rsid w:val="70F375C8"/>
    <w:rsid w:val="71064CFE"/>
    <w:rsid w:val="711551B1"/>
    <w:rsid w:val="71795B99"/>
    <w:rsid w:val="71A7484D"/>
    <w:rsid w:val="71C83087"/>
    <w:rsid w:val="71F5773D"/>
    <w:rsid w:val="71F704AA"/>
    <w:rsid w:val="72020C1F"/>
    <w:rsid w:val="72356323"/>
    <w:rsid w:val="72781998"/>
    <w:rsid w:val="729A73FF"/>
    <w:rsid w:val="72B757CD"/>
    <w:rsid w:val="72CB405C"/>
    <w:rsid w:val="72F675C6"/>
    <w:rsid w:val="72FE64B0"/>
    <w:rsid w:val="732B09DD"/>
    <w:rsid w:val="732C4CB4"/>
    <w:rsid w:val="7332281A"/>
    <w:rsid w:val="733B7594"/>
    <w:rsid w:val="7350130A"/>
    <w:rsid w:val="73AA6ED7"/>
    <w:rsid w:val="73B7276A"/>
    <w:rsid w:val="73C325B7"/>
    <w:rsid w:val="73D436BC"/>
    <w:rsid w:val="742757B9"/>
    <w:rsid w:val="7442798D"/>
    <w:rsid w:val="74573272"/>
    <w:rsid w:val="7481692F"/>
    <w:rsid w:val="749C73F1"/>
    <w:rsid w:val="74B40616"/>
    <w:rsid w:val="74C765FF"/>
    <w:rsid w:val="74E83FBB"/>
    <w:rsid w:val="75292618"/>
    <w:rsid w:val="757C0300"/>
    <w:rsid w:val="75B24F6A"/>
    <w:rsid w:val="75B914A5"/>
    <w:rsid w:val="75BC0266"/>
    <w:rsid w:val="760263EF"/>
    <w:rsid w:val="761F42ED"/>
    <w:rsid w:val="767056DB"/>
    <w:rsid w:val="767C4784"/>
    <w:rsid w:val="76D771CC"/>
    <w:rsid w:val="76F9786D"/>
    <w:rsid w:val="773F2AA6"/>
    <w:rsid w:val="7757234A"/>
    <w:rsid w:val="777C03C6"/>
    <w:rsid w:val="77835B03"/>
    <w:rsid w:val="779378AE"/>
    <w:rsid w:val="77EC4E2C"/>
    <w:rsid w:val="782007D8"/>
    <w:rsid w:val="78635CF0"/>
    <w:rsid w:val="7882554E"/>
    <w:rsid w:val="78D82B02"/>
    <w:rsid w:val="79062FCE"/>
    <w:rsid w:val="793E19BA"/>
    <w:rsid w:val="794C4351"/>
    <w:rsid w:val="795A6A93"/>
    <w:rsid w:val="79802666"/>
    <w:rsid w:val="79815DC6"/>
    <w:rsid w:val="79917052"/>
    <w:rsid w:val="7A3411F0"/>
    <w:rsid w:val="7A3E2912"/>
    <w:rsid w:val="7A6D6E7F"/>
    <w:rsid w:val="7AA23370"/>
    <w:rsid w:val="7B097852"/>
    <w:rsid w:val="7B4E6F27"/>
    <w:rsid w:val="7B537CC4"/>
    <w:rsid w:val="7B777C08"/>
    <w:rsid w:val="7C5F0387"/>
    <w:rsid w:val="7C69420A"/>
    <w:rsid w:val="7C7351F4"/>
    <w:rsid w:val="7C937B65"/>
    <w:rsid w:val="7CBA0C0A"/>
    <w:rsid w:val="7CF2567D"/>
    <w:rsid w:val="7D395889"/>
    <w:rsid w:val="7D4252F9"/>
    <w:rsid w:val="7D724195"/>
    <w:rsid w:val="7D881205"/>
    <w:rsid w:val="7D91691E"/>
    <w:rsid w:val="7D992786"/>
    <w:rsid w:val="7DFE7FB1"/>
    <w:rsid w:val="7E281B31"/>
    <w:rsid w:val="7E2B250D"/>
    <w:rsid w:val="7E670321"/>
    <w:rsid w:val="7E9A41D7"/>
    <w:rsid w:val="7EC2326E"/>
    <w:rsid w:val="7ED16130"/>
    <w:rsid w:val="7F1D4C67"/>
    <w:rsid w:val="7F3E5B02"/>
    <w:rsid w:val="7F49300E"/>
    <w:rsid w:val="7FAE3B33"/>
    <w:rsid w:val="7FBB6CB9"/>
    <w:rsid w:val="7FC13A5D"/>
    <w:rsid w:val="7FD33B58"/>
    <w:rsid w:val="7FF844C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1" w:semiHidden="0" w:name="toc 1"/>
    <w:lsdException w:qFormat="1" w:unhideWhenUsed="0" w:uiPriority="1"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宋体" w:hAnsi="宋体" w:eastAsia="宋体" w:cs="宋体"/>
      <w:sz w:val="22"/>
      <w:szCs w:val="22"/>
      <w:lang w:val="zh-CN" w:eastAsia="zh-CN" w:bidi="zh-CN"/>
    </w:rPr>
  </w:style>
  <w:style w:type="paragraph" w:styleId="2">
    <w:name w:val="heading 1"/>
    <w:basedOn w:val="1"/>
    <w:next w:val="1"/>
    <w:link w:val="29"/>
    <w:qFormat/>
    <w:uiPriority w:val="1"/>
    <w:pPr>
      <w:ind w:left="220"/>
      <w:outlineLvl w:val="1"/>
    </w:pPr>
    <w:rPr>
      <w:rFonts w:ascii="微软雅黑" w:hAnsi="微软雅黑" w:eastAsia="微软雅黑" w:cs="微软雅黑"/>
      <w:b/>
      <w:bCs/>
      <w:sz w:val="32"/>
      <w:szCs w:val="32"/>
      <w:lang w:val="zh-CN" w:eastAsia="zh-CN" w:bidi="zh-CN"/>
    </w:rPr>
  </w:style>
  <w:style w:type="paragraph" w:styleId="3">
    <w:name w:val="heading 2"/>
    <w:basedOn w:val="1"/>
    <w:next w:val="1"/>
    <w:qFormat/>
    <w:uiPriority w:val="1"/>
    <w:pPr>
      <w:ind w:left="714"/>
      <w:outlineLvl w:val="2"/>
    </w:pPr>
    <w:rPr>
      <w:rFonts w:ascii="微软雅黑" w:hAnsi="微软雅黑" w:eastAsia="微软雅黑" w:cs="微软雅黑"/>
      <w:b/>
      <w:bCs/>
      <w:sz w:val="28"/>
      <w:szCs w:val="28"/>
      <w:lang w:val="zh-CN" w:eastAsia="zh-CN" w:bidi="zh-CN"/>
    </w:rPr>
  </w:style>
  <w:style w:type="paragraph" w:styleId="4">
    <w:name w:val="heading 3"/>
    <w:basedOn w:val="1"/>
    <w:next w:val="1"/>
    <w:qFormat/>
    <w:uiPriority w:val="0"/>
    <w:pPr>
      <w:keepNext/>
      <w:spacing w:before="240" w:after="60"/>
      <w:outlineLvl w:val="2"/>
    </w:pPr>
    <w:rPr>
      <w:rFonts w:ascii="Cambria" w:hAnsi="Cambria"/>
      <w:b/>
      <w:bCs/>
      <w:sz w:val="26"/>
      <w:szCs w:val="26"/>
    </w:rPr>
  </w:style>
  <w:style w:type="paragraph" w:styleId="5">
    <w:name w:val="heading 4"/>
    <w:basedOn w:val="1"/>
    <w:next w:val="1"/>
    <w:link w:val="22"/>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paragraph" w:styleId="6">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15">
    <w:name w:val="Default Paragraph Font"/>
    <w:semiHidden/>
    <w:unhideWhenUsed/>
    <w:qFormat/>
    <w:uiPriority w:val="1"/>
  </w:style>
  <w:style w:type="table" w:default="1" w:styleId="13">
    <w:name w:val="Normal Table"/>
    <w:semiHidden/>
    <w:qFormat/>
    <w:uiPriority w:val="0"/>
    <w:tblPr>
      <w:tblCellMar>
        <w:top w:w="0" w:type="dxa"/>
        <w:left w:w="108" w:type="dxa"/>
        <w:bottom w:w="0" w:type="dxa"/>
        <w:right w:w="108" w:type="dxa"/>
      </w:tblCellMar>
    </w:tblPr>
  </w:style>
  <w:style w:type="paragraph" w:styleId="7">
    <w:name w:val="Body Text"/>
    <w:basedOn w:val="1"/>
    <w:link w:val="23"/>
    <w:qFormat/>
    <w:uiPriority w:val="1"/>
    <w:rPr>
      <w:rFonts w:ascii="宋体" w:hAnsi="宋体" w:eastAsia="宋体" w:cs="宋体"/>
      <w:sz w:val="28"/>
      <w:szCs w:val="28"/>
      <w:lang w:val="zh-CN" w:eastAsia="zh-CN" w:bidi="zh-CN"/>
    </w:r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toc 1"/>
    <w:basedOn w:val="1"/>
    <w:next w:val="1"/>
    <w:qFormat/>
    <w:uiPriority w:val="1"/>
    <w:pPr>
      <w:spacing w:before="265"/>
      <w:ind w:left="1550" w:right="492" w:hanging="1551"/>
      <w:jc w:val="right"/>
    </w:pPr>
    <w:rPr>
      <w:rFonts w:ascii="宋体" w:hAnsi="宋体" w:eastAsia="宋体" w:cs="宋体"/>
      <w:sz w:val="28"/>
      <w:szCs w:val="28"/>
      <w:lang w:val="zh-CN" w:eastAsia="zh-CN" w:bidi="zh-CN"/>
    </w:rPr>
  </w:style>
  <w:style w:type="paragraph" w:styleId="11">
    <w:name w:val="toc 2"/>
    <w:basedOn w:val="1"/>
    <w:next w:val="1"/>
    <w:qFormat/>
    <w:uiPriority w:val="1"/>
    <w:pPr>
      <w:spacing w:before="265"/>
      <w:ind w:left="1550" w:hanging="492"/>
    </w:pPr>
    <w:rPr>
      <w:rFonts w:ascii="宋体" w:hAnsi="宋体" w:eastAsia="宋体" w:cs="宋体"/>
      <w:sz w:val="28"/>
      <w:szCs w:val="28"/>
      <w:lang w:val="zh-CN" w:eastAsia="zh-CN" w:bidi="zh-CN"/>
    </w:rPr>
  </w:style>
  <w:style w:type="paragraph" w:styleId="12">
    <w:name w:val="Normal (Web)"/>
    <w:basedOn w:val="1"/>
    <w:qFormat/>
    <w:uiPriority w:val="0"/>
    <w:pPr>
      <w:spacing w:before="100" w:beforeAutospacing="1" w:after="100" w:afterAutospacing="1"/>
    </w:pPr>
    <w:rPr>
      <w:rFonts w:ascii="宋体" w:hAnsi="宋体" w:cs="宋体"/>
    </w:rPr>
  </w:style>
  <w:style w:type="table" w:styleId="14">
    <w:name w:val="Table Grid"/>
    <w:basedOn w:val="1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Strong"/>
    <w:basedOn w:val="15"/>
    <w:qFormat/>
    <w:uiPriority w:val="0"/>
    <w:rPr>
      <w:b/>
    </w:rPr>
  </w:style>
  <w:style w:type="character" w:styleId="17">
    <w:name w:val="page number"/>
    <w:basedOn w:val="15"/>
    <w:qFormat/>
    <w:uiPriority w:val="0"/>
  </w:style>
  <w:style w:type="character" w:styleId="18">
    <w:name w:val="Hyperlink"/>
    <w:basedOn w:val="15"/>
    <w:qFormat/>
    <w:uiPriority w:val="0"/>
    <w:rPr>
      <w:color w:val="0000FF"/>
      <w:u w:val="single"/>
    </w:rPr>
  </w:style>
  <w:style w:type="table" w:customStyle="1" w:styleId="19">
    <w:name w:val="Table Normal"/>
    <w:semiHidden/>
    <w:unhideWhenUsed/>
    <w:qFormat/>
    <w:uiPriority w:val="2"/>
    <w:tblPr>
      <w:tblCellMar>
        <w:top w:w="0" w:type="dxa"/>
        <w:left w:w="0" w:type="dxa"/>
        <w:bottom w:w="0" w:type="dxa"/>
        <w:right w:w="0" w:type="dxa"/>
      </w:tblCellMar>
    </w:tblPr>
  </w:style>
  <w:style w:type="paragraph" w:styleId="20">
    <w:name w:val="List Paragraph"/>
    <w:basedOn w:val="1"/>
    <w:qFormat/>
    <w:uiPriority w:val="1"/>
    <w:pPr>
      <w:ind w:left="1550" w:hanging="421"/>
    </w:pPr>
    <w:rPr>
      <w:rFonts w:ascii="宋体" w:hAnsi="宋体" w:eastAsia="宋体" w:cs="宋体"/>
      <w:lang w:val="zh-CN" w:eastAsia="zh-CN" w:bidi="zh-CN"/>
    </w:rPr>
  </w:style>
  <w:style w:type="paragraph" w:customStyle="1" w:styleId="21">
    <w:name w:val="Table Paragraph"/>
    <w:basedOn w:val="1"/>
    <w:qFormat/>
    <w:uiPriority w:val="1"/>
    <w:rPr>
      <w:rFonts w:ascii="宋体" w:hAnsi="宋体" w:eastAsia="宋体" w:cs="宋体"/>
      <w:lang w:val="zh-CN" w:eastAsia="zh-CN" w:bidi="zh-CN"/>
    </w:rPr>
  </w:style>
  <w:style w:type="character" w:customStyle="1" w:styleId="22">
    <w:name w:val="标题 4 Char"/>
    <w:link w:val="5"/>
    <w:qFormat/>
    <w:uiPriority w:val="0"/>
    <w:rPr>
      <w:rFonts w:ascii="Arial" w:hAnsi="Arial" w:eastAsia="黑体"/>
      <w:b/>
      <w:sz w:val="28"/>
    </w:rPr>
  </w:style>
  <w:style w:type="character" w:customStyle="1" w:styleId="23">
    <w:name w:val="正文文本 Char"/>
    <w:link w:val="7"/>
    <w:qFormat/>
    <w:uiPriority w:val="1"/>
    <w:rPr>
      <w:rFonts w:ascii="宋体" w:hAnsi="宋体" w:eastAsia="宋体" w:cs="宋体"/>
      <w:sz w:val="28"/>
      <w:szCs w:val="28"/>
      <w:lang w:val="zh-CN" w:eastAsia="zh-CN" w:bidi="zh-CN"/>
    </w:rPr>
  </w:style>
  <w:style w:type="paragraph" w:customStyle="1" w:styleId="24">
    <w:name w:val="WPSOffice手动目录 1"/>
    <w:qFormat/>
    <w:uiPriority w:val="0"/>
    <w:pPr>
      <w:ind w:leftChars="0"/>
    </w:pPr>
    <w:rPr>
      <w:rFonts w:ascii="Times New Roman" w:hAnsi="Times New Roman" w:eastAsia="宋体" w:cs="Times New Roman"/>
      <w:sz w:val="20"/>
      <w:szCs w:val="20"/>
    </w:rPr>
  </w:style>
  <w:style w:type="paragraph" w:customStyle="1" w:styleId="25">
    <w:name w:val="标题2"/>
    <w:basedOn w:val="3"/>
    <w:next w:val="1"/>
    <w:qFormat/>
    <w:uiPriority w:val="0"/>
  </w:style>
  <w:style w:type="paragraph" w:customStyle="1" w:styleId="26">
    <w:name w:val="标题1"/>
    <w:basedOn w:val="2"/>
    <w:next w:val="1"/>
    <w:qFormat/>
    <w:uiPriority w:val="0"/>
  </w:style>
  <w:style w:type="paragraph" w:customStyle="1" w:styleId="27">
    <w:name w:val="标题3"/>
    <w:basedOn w:val="4"/>
    <w:next w:val="1"/>
    <w:qFormat/>
    <w:uiPriority w:val="0"/>
    <w:pPr>
      <w:spacing w:line="480" w:lineRule="exact"/>
    </w:pPr>
    <w:rPr>
      <w:rFonts w:eastAsia="仿宋_GB2312"/>
    </w:rPr>
  </w:style>
  <w:style w:type="paragraph" w:customStyle="1" w:styleId="28">
    <w:name w:val="标题4"/>
    <w:basedOn w:val="5"/>
    <w:qFormat/>
    <w:uiPriority w:val="0"/>
    <w:rPr>
      <w:rFonts w:ascii="宋体" w:hAnsi="宋体"/>
    </w:rPr>
  </w:style>
  <w:style w:type="character" w:customStyle="1" w:styleId="29">
    <w:name w:val="标题 1 Char"/>
    <w:link w:val="2"/>
    <w:qFormat/>
    <w:uiPriority w:val="1"/>
    <w:rPr>
      <w:rFonts w:ascii="微软雅黑" w:hAnsi="微软雅黑" w:eastAsia="微软雅黑" w:cs="微软雅黑"/>
      <w:b/>
      <w:bCs/>
      <w:sz w:val="32"/>
      <w:szCs w:val="32"/>
      <w:lang w:val="zh-CN" w:eastAsia="zh-CN" w:bidi="zh-CN"/>
    </w:rPr>
  </w:style>
  <w:style w:type="paragraph" w:customStyle="1" w:styleId="30">
    <w:name w:val="WPSOffice手动目录 2"/>
    <w:qFormat/>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7.xml"/><Relationship Id="rId8" Type="http://schemas.openxmlformats.org/officeDocument/2006/relationships/footer" Target="footer6.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4" Type="http://schemas.openxmlformats.org/officeDocument/2006/relationships/fontTable" Target="fontTable.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er" Target="foot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jpeg"/><Relationship Id="rId13" Type="http://schemas.openxmlformats.org/officeDocument/2006/relationships/theme" Target="theme/theme1.xml"/><Relationship Id="rId12" Type="http://schemas.openxmlformats.org/officeDocument/2006/relationships/footer" Target="footer10.xml"/><Relationship Id="rId11" Type="http://schemas.openxmlformats.org/officeDocument/2006/relationships/footer" Target="footer9.xml"/><Relationship Id="rId10" Type="http://schemas.openxmlformats.org/officeDocument/2006/relationships/footer" Target="footer8.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2059" textRotate="1"/>
    <customShpInfo spid="_x0000_s2056" textRotate="1"/>
    <customShpInfo spid="_x0000_s2057" textRotate="1"/>
    <customShpInfo spid="_x0000_s2058" textRotate="1"/>
    <customShpInfo spid="_x0000_s2053" textRotate="1"/>
    <customShpInfo spid="_x0000_s2054"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28</TotalTime>
  <ScaleCrop>false</ScaleCrop>
  <LinksUpToDate>false</LinksUpToDate>
  <Application>WPS Office_11.1.0.10228_F1E327BC-269C-435d-A152-05C5408002CA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2019-06-21T03:06:00Z</dcterms:created>
  <dc:creator>Administrator</dc:creator>
  <cp:lastModifiedBy>周华</cp:lastModifiedBy>
  <cp:lastPrinted>2020-10-22T08:09:00Z</cp:lastPrinted>
  <dcterms:modified xsi:type="dcterms:W3CDTF">2021-01-15T06:06:38Z</dcterms:modified>
  <dc:title>&lt;4D6963726F736F667420576F7264202D20C7E5B3FDD7F7D2B5D0DEB8C4B8E52E646F63&gt;</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2011-12-21T00:00:00Z</vt:filetime>
  </property>
  <property fmtid="{D5CDD505-2E9C-101B-9397-08002B2CF9AE}" pid="3" name="Creator">
    <vt:lpwstr>PScript5.dll Version 5.2.2</vt:lpwstr>
  </property>
  <property fmtid="{D5CDD505-2E9C-101B-9397-08002B2CF9AE}" pid="4" name="LastSaved">
    <vt:filetime>2019-06-21T00:00:00Z</vt:filetime>
  </property>
  <property fmtid="{D5CDD505-2E9C-101B-9397-08002B2CF9AE}" pid="5" name="KSOProductBuildVer">
    <vt:lpwstr>2052-11.1.0.10228</vt:lpwstr>
  </property>
</Properties>
</file>