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7"/>
        <w:spacing w:before="4"/>
        <w:rPr>
          <w:rFonts w:hint="eastAsia" w:ascii="仿宋" w:hAnsi="仿宋" w:eastAsia="仿宋" w:cs="仿宋"/>
          <w:color w:val="auto"/>
          <w:sz w:val="28"/>
          <w:szCs w:val="28"/>
        </w:rPr>
      </w:pPr>
      <w:r>
        <w:rPr>
          <w:rFonts w:hint="eastAsia" w:ascii="仿宋" w:hAnsi="仿宋" w:eastAsia="仿宋" w:cs="仿宋"/>
          <w:color w:val="auto"/>
          <w:sz w:val="28"/>
          <w:szCs w:val="28"/>
        </w:rPr>
        <w:drawing>
          <wp:anchor distT="0" distB="0" distL="0" distR="0" simplePos="0" relativeHeight="247928832" behindDoc="1" locked="0" layoutInCell="1" allowOverlap="1">
            <wp:simplePos x="0" y="0"/>
            <wp:positionH relativeFrom="page">
              <wp:posOffset>14605</wp:posOffset>
            </wp:positionH>
            <wp:positionV relativeFrom="page">
              <wp:posOffset>4445</wp:posOffset>
            </wp:positionV>
            <wp:extent cx="7543165" cy="10668635"/>
            <wp:effectExtent l="0" t="0" r="635" b="18415"/>
            <wp:wrapNone/>
            <wp:docPr id="1" name="image1.jpeg" descr="C:\Users\Administrator\Desktop\微信图片_20200415151215.jpg微信图片_2020041515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eg" descr="C:\Users\Administrator\Desktop\微信图片_20200415151215.jpg微信图片_20200415151215"/>
                    <pic:cNvPicPr>
                      <a:picLocks noChangeAspect="1"/>
                    </pic:cNvPicPr>
                  </pic:nvPicPr>
                  <pic:blipFill>
                    <a:blip r:embed="rId8"/>
                    <a:srcRect/>
                    <a:stretch>
                      <a:fillRect/>
                    </a:stretch>
                  </pic:blipFill>
                  <pic:spPr>
                    <a:xfrm>
                      <a:off x="0" y="0"/>
                      <a:ext cx="7543165" cy="10668635"/>
                    </a:xfrm>
                    <a:prstGeom prst="rect">
                      <a:avLst/>
                    </a:prstGeom>
                  </pic:spPr>
                </pic:pic>
              </a:graphicData>
            </a:graphic>
          </wp:anchor>
        </w:drawing>
      </w:r>
    </w:p>
    <w:p>
      <w:pPr>
        <w:spacing w:after="0"/>
        <w:rPr>
          <w:rFonts w:hint="eastAsia" w:ascii="仿宋" w:hAnsi="仿宋" w:eastAsia="仿宋" w:cs="仿宋"/>
          <w:color w:val="auto"/>
          <w:sz w:val="28"/>
          <w:szCs w:val="28"/>
        </w:rPr>
        <w:sectPr>
          <w:footerReference r:id="rId3" w:type="first"/>
          <w:type w:val="continuous"/>
          <w:pgSz w:w="11910" w:h="16840"/>
          <w:pgMar w:top="1600" w:right="1160" w:bottom="280" w:left="1580" w:header="720" w:footer="720" w:gutter="0"/>
          <w:pgBorders>
            <w:top w:val="none" w:sz="0" w:space="0"/>
            <w:left w:val="none" w:sz="0" w:space="0"/>
            <w:bottom w:val="none" w:sz="0" w:space="0"/>
            <w:right w:val="none" w:sz="0" w:space="0"/>
          </w:pgBorders>
        </w:sectPr>
      </w:pPr>
    </w:p>
    <w:sdt>
      <w:sdtPr>
        <w:rPr>
          <w:rFonts w:ascii="宋体" w:hAnsi="宋体" w:eastAsia="宋体" w:cs="宋体"/>
          <w:sz w:val="21"/>
          <w:szCs w:val="22"/>
          <w:lang w:val="zh-CN" w:eastAsia="zh-CN" w:bidi="zh-CN"/>
        </w:rPr>
        <w:id w:val="147481249"/>
        <w15:color w:val="DBDBDB"/>
        <w:docPartObj>
          <w:docPartGallery w:val="Table of Contents"/>
          <w:docPartUnique/>
        </w:docPartObj>
      </w:sdtPr>
      <w:sdtEndPr>
        <w:rPr>
          <w:rFonts w:ascii="宋体" w:hAnsi="宋体" w:eastAsia="宋体" w:cs="宋体"/>
          <w:sz w:val="21"/>
          <w:szCs w:val="22"/>
          <w:lang w:val="zh-CN" w:eastAsia="zh-CN" w:bidi="zh-CN"/>
        </w:rPr>
      </w:sdtEndPr>
      <w:sdtContent>
        <w:p>
          <w:pPr>
            <w:spacing w:before="0" w:beforeLines="0" w:after="0" w:afterLines="0" w:line="240" w:lineRule="auto"/>
            <w:ind w:left="0" w:leftChars="0" w:right="0" w:rightChars="0" w:firstLine="0" w:firstLineChars="0"/>
            <w:jc w:val="center"/>
            <w:rPr>
              <w:rFonts w:ascii="宋体" w:hAnsi="宋体" w:eastAsia="宋体" w:cs="宋体"/>
              <w:sz w:val="21"/>
              <w:szCs w:val="22"/>
              <w:lang w:val="zh-CN" w:eastAsia="zh-CN" w:bidi="zh-CN"/>
            </w:rPr>
          </w:pPr>
          <w:bookmarkStart w:id="0" w:name="_TOC_250032"/>
          <w:bookmarkEnd w:id="0"/>
          <w:bookmarkStart w:id="1" w:name="_Toc16619"/>
        </w:p>
        <w:p>
          <w:pPr>
            <w:spacing w:before="0" w:beforeLines="0" w:after="0" w:afterLines="0" w:line="240" w:lineRule="auto"/>
            <w:ind w:left="0" w:leftChars="0" w:right="0" w:rightChars="0" w:firstLine="0" w:firstLineChars="0"/>
            <w:jc w:val="center"/>
            <w:rPr>
              <w:rFonts w:ascii="宋体" w:hAnsi="宋体" w:eastAsia="宋体"/>
              <w:b/>
              <w:bCs/>
              <w:sz w:val="36"/>
              <w:szCs w:val="36"/>
            </w:rPr>
          </w:pPr>
          <w:r>
            <w:rPr>
              <w:rFonts w:ascii="宋体" w:hAnsi="宋体" w:eastAsia="宋体"/>
              <w:b/>
              <w:bCs/>
              <w:sz w:val="36"/>
              <w:szCs w:val="36"/>
            </w:rPr>
            <w:t>目</w:t>
          </w:r>
          <w:r>
            <w:rPr>
              <w:rFonts w:hint="eastAsia"/>
              <w:b/>
              <w:bCs/>
              <w:sz w:val="36"/>
              <w:szCs w:val="36"/>
              <w:lang w:val="en-US" w:eastAsia="zh-CN"/>
            </w:rPr>
            <w:t xml:space="preserve">   </w:t>
          </w:r>
          <w:r>
            <w:rPr>
              <w:rFonts w:ascii="宋体" w:hAnsi="宋体" w:eastAsia="宋体"/>
              <w:b/>
              <w:bCs/>
              <w:sz w:val="36"/>
              <w:szCs w:val="36"/>
            </w:rPr>
            <w:t>录</w:t>
          </w:r>
        </w:p>
        <w:p>
          <w:pPr>
            <w:tabs>
              <w:tab w:val="left" w:pos="6733"/>
            </w:tabs>
            <w:spacing w:before="0" w:beforeLines="0" w:after="0" w:afterLines="0" w:line="240" w:lineRule="auto"/>
            <w:ind w:left="0" w:leftChars="0" w:right="0" w:rightChars="0" w:firstLine="0" w:firstLineChars="0"/>
            <w:jc w:val="left"/>
            <w:rPr>
              <w:rFonts w:hint="eastAsia" w:ascii="宋体" w:hAnsi="宋体" w:eastAsia="宋体"/>
              <w:sz w:val="21"/>
              <w:lang w:eastAsia="zh-CN"/>
            </w:rPr>
          </w:pPr>
          <w:r>
            <w:rPr>
              <w:rFonts w:hint="eastAsia"/>
              <w:sz w:val="21"/>
              <w:lang w:eastAsia="zh-CN"/>
            </w:rPr>
            <w:tab/>
          </w:r>
        </w:p>
        <w:p>
          <w:pPr>
            <w:pStyle w:val="29"/>
            <w:tabs>
              <w:tab w:val="right" w:leader="dot" w:pos="9070"/>
            </w:tabs>
            <w:spacing w:line="360" w:lineRule="auto"/>
            <w:rPr>
              <w:rFonts w:hint="eastAsia" w:ascii="仿宋" w:hAnsi="仿宋" w:eastAsia="仿宋" w:cs="仿宋"/>
              <w:sz w:val="28"/>
              <w:szCs w:val="28"/>
            </w:rPr>
          </w:pPr>
          <w:r>
            <w:fldChar w:fldCharType="begin"/>
          </w:r>
          <w:r>
            <w:instrText xml:space="preserve">TOC \o "1-2" \h \u </w:instrText>
          </w:r>
          <w:r>
            <w:fldChar w:fldCharType="separate"/>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HYPERLINK \l _Toc13790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lang w:val="en-US" w:eastAsia="zh-CN"/>
            </w:rPr>
            <w:t>1、</w:t>
          </w:r>
          <w:r>
            <w:rPr>
              <w:rFonts w:hint="eastAsia" w:ascii="仿宋" w:hAnsi="仿宋" w:eastAsia="仿宋" w:cs="仿宋"/>
              <w:b/>
              <w:bCs/>
              <w:sz w:val="28"/>
              <w:szCs w:val="28"/>
            </w:rPr>
            <w:t>总则</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_Toc13790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1</w:t>
          </w:r>
          <w:r>
            <w:rPr>
              <w:rFonts w:hint="eastAsia" w:ascii="仿宋" w:hAnsi="仿宋" w:eastAsia="仿宋" w:cs="仿宋"/>
              <w:b/>
              <w:bCs/>
              <w:sz w:val="28"/>
              <w:szCs w:val="28"/>
            </w:rPr>
            <w:fldChar w:fldCharType="end"/>
          </w:r>
          <w:r>
            <w:rPr>
              <w:rFonts w:hint="eastAsia" w:ascii="仿宋" w:hAnsi="仿宋" w:eastAsia="仿宋" w:cs="仿宋"/>
              <w:b/>
              <w:bCs/>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_Toc8228 </w:instrText>
          </w:r>
          <w:r>
            <w:rPr>
              <w:rFonts w:hint="eastAsia" w:ascii="仿宋" w:hAnsi="仿宋" w:eastAsia="仿宋" w:cs="仿宋"/>
              <w:sz w:val="28"/>
              <w:szCs w:val="28"/>
            </w:rPr>
            <w:fldChar w:fldCharType="separate"/>
          </w:r>
          <w:r>
            <w:rPr>
              <w:rFonts w:hint="eastAsia" w:ascii="仿宋" w:hAnsi="仿宋" w:eastAsia="仿宋" w:cs="仿宋"/>
              <w:bCs w:val="0"/>
              <w:sz w:val="28"/>
              <w:szCs w:val="28"/>
              <w:lang w:val="en-US" w:eastAsia="zh-CN"/>
            </w:rPr>
            <w:t xml:space="preserve">1.1 </w:t>
          </w:r>
          <w:r>
            <w:rPr>
              <w:rFonts w:hint="eastAsia" w:ascii="仿宋" w:hAnsi="仿宋" w:eastAsia="仿宋" w:cs="仿宋"/>
              <w:bCs w:val="0"/>
              <w:sz w:val="28"/>
              <w:szCs w:val="28"/>
            </w:rPr>
            <w:t>目的</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_Toc8228 </w:instrText>
          </w:r>
          <w:r>
            <w:rPr>
              <w:rFonts w:hint="eastAsia" w:ascii="仿宋" w:hAnsi="仿宋" w:eastAsia="仿宋" w:cs="仿宋"/>
              <w:sz w:val="28"/>
              <w:szCs w:val="28"/>
            </w:rPr>
            <w:fldChar w:fldCharType="separate"/>
          </w:r>
          <w:r>
            <w:rPr>
              <w:rFonts w:hint="eastAsia" w:ascii="仿宋" w:hAnsi="仿宋" w:eastAsia="仿宋" w:cs="仿宋"/>
              <w:sz w:val="28"/>
              <w:szCs w:val="28"/>
            </w:rPr>
            <w:t>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_Toc21569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 xml:space="preserve">1.2 </w:t>
          </w:r>
          <w:r>
            <w:rPr>
              <w:rFonts w:hint="eastAsia" w:ascii="仿宋" w:hAnsi="仿宋" w:eastAsia="仿宋" w:cs="仿宋"/>
              <w:bCs/>
              <w:sz w:val="28"/>
              <w:szCs w:val="28"/>
              <w:lang w:eastAsia="zh-CN"/>
            </w:rPr>
            <w:t>适用范围</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_Toc21569 </w:instrText>
          </w:r>
          <w:r>
            <w:rPr>
              <w:rFonts w:hint="eastAsia" w:ascii="仿宋" w:hAnsi="仿宋" w:eastAsia="仿宋" w:cs="仿宋"/>
              <w:sz w:val="28"/>
              <w:szCs w:val="28"/>
            </w:rPr>
            <w:fldChar w:fldCharType="separate"/>
          </w:r>
          <w:r>
            <w:rPr>
              <w:rFonts w:hint="eastAsia" w:ascii="仿宋" w:hAnsi="仿宋" w:eastAsia="仿宋" w:cs="仿宋"/>
              <w:sz w:val="28"/>
              <w:szCs w:val="28"/>
            </w:rPr>
            <w:t>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_Toc24010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1.3</w:t>
          </w:r>
          <w:r>
            <w:rPr>
              <w:rFonts w:hint="eastAsia" w:ascii="仿宋" w:hAnsi="仿宋" w:eastAsia="仿宋" w:cs="仿宋"/>
              <w:bCs/>
              <w:iCs/>
              <w:sz w:val="28"/>
              <w:szCs w:val="28"/>
            </w:rPr>
            <w:t>术语和定义</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_Toc24010 </w:instrText>
          </w:r>
          <w:r>
            <w:rPr>
              <w:rFonts w:hint="eastAsia" w:ascii="仿宋" w:hAnsi="仿宋" w:eastAsia="仿宋" w:cs="仿宋"/>
              <w:sz w:val="28"/>
              <w:szCs w:val="28"/>
            </w:rPr>
            <w:fldChar w:fldCharType="separate"/>
          </w:r>
          <w:r>
            <w:rPr>
              <w:rFonts w:hint="eastAsia" w:ascii="仿宋" w:hAnsi="仿宋" w:eastAsia="仿宋" w:cs="仿宋"/>
              <w:sz w:val="28"/>
              <w:szCs w:val="28"/>
            </w:rPr>
            <w:t>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_Toc4991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1.4 职责</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_Toc4991 </w:instrText>
          </w:r>
          <w:r>
            <w:rPr>
              <w:rFonts w:hint="eastAsia" w:ascii="仿宋" w:hAnsi="仿宋" w:eastAsia="仿宋" w:cs="仿宋"/>
              <w:sz w:val="28"/>
              <w:szCs w:val="28"/>
            </w:rPr>
            <w:fldChar w:fldCharType="separate"/>
          </w:r>
          <w:r>
            <w:rPr>
              <w:rFonts w:hint="eastAsia" w:ascii="仿宋" w:hAnsi="仿宋" w:eastAsia="仿宋" w:cs="仿宋"/>
              <w:sz w:val="28"/>
              <w:szCs w:val="28"/>
            </w:rPr>
            <w:t>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b/>
              <w:bCs/>
              <w:sz w:val="28"/>
              <w:szCs w:val="28"/>
            </w:rPr>
          </w:pP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HYPERLINK \l _Toc28579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lang w:val="en-US" w:eastAsia="zh-CN"/>
            </w:rPr>
            <w:t>2、</w:t>
          </w:r>
          <w:r>
            <w:rPr>
              <w:rFonts w:hint="eastAsia" w:ascii="仿宋" w:hAnsi="仿宋" w:eastAsia="仿宋" w:cs="仿宋"/>
              <w:b/>
              <w:bCs/>
              <w:sz w:val="28"/>
              <w:szCs w:val="28"/>
            </w:rPr>
            <w:t>溢油应急服务区域</w:t>
          </w:r>
          <w:r>
            <w:rPr>
              <w:rFonts w:hint="eastAsia" w:ascii="仿宋" w:hAnsi="仿宋" w:eastAsia="仿宋" w:cs="仿宋"/>
              <w:b/>
              <w:bCs/>
              <w:sz w:val="28"/>
              <w:szCs w:val="28"/>
              <w:lang w:eastAsia="zh-CN"/>
            </w:rPr>
            <w:t>概况</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_Toc28579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2</w:t>
          </w:r>
          <w:r>
            <w:rPr>
              <w:rFonts w:hint="eastAsia" w:ascii="仿宋" w:hAnsi="仿宋" w:eastAsia="仿宋" w:cs="仿宋"/>
              <w:b/>
              <w:bCs/>
              <w:sz w:val="28"/>
              <w:szCs w:val="28"/>
            </w:rPr>
            <w:fldChar w:fldCharType="end"/>
          </w:r>
          <w:r>
            <w:rPr>
              <w:rFonts w:hint="eastAsia" w:ascii="仿宋" w:hAnsi="仿宋" w:eastAsia="仿宋" w:cs="仿宋"/>
              <w:b/>
              <w:bCs/>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_Toc18145 </w:instrText>
          </w:r>
          <w:r>
            <w:rPr>
              <w:rFonts w:hint="eastAsia" w:ascii="仿宋" w:hAnsi="仿宋" w:eastAsia="仿宋" w:cs="仿宋"/>
              <w:sz w:val="28"/>
              <w:szCs w:val="28"/>
            </w:rPr>
            <w:fldChar w:fldCharType="separate"/>
          </w:r>
          <w:r>
            <w:rPr>
              <w:rFonts w:hint="eastAsia" w:ascii="仿宋" w:hAnsi="仿宋" w:eastAsia="仿宋" w:cs="仿宋"/>
              <w:sz w:val="28"/>
              <w:szCs w:val="28"/>
              <w:lang w:val="en-US" w:eastAsia="zh-CN"/>
            </w:rPr>
            <w:t xml:space="preserve">2.1 </w:t>
          </w:r>
          <w:r>
            <w:rPr>
              <w:rFonts w:hint="eastAsia" w:ascii="仿宋" w:hAnsi="仿宋" w:eastAsia="仿宋" w:cs="仿宋"/>
              <w:sz w:val="28"/>
              <w:szCs w:val="28"/>
            </w:rPr>
            <w:t>地理位置</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_Toc18145 </w:instrText>
          </w:r>
          <w:r>
            <w:rPr>
              <w:rFonts w:hint="eastAsia" w:ascii="仿宋" w:hAnsi="仿宋" w:eastAsia="仿宋" w:cs="仿宋"/>
              <w:sz w:val="28"/>
              <w:szCs w:val="28"/>
            </w:rPr>
            <w:fldChar w:fldCharType="separate"/>
          </w:r>
          <w:r>
            <w:rPr>
              <w:rFonts w:hint="eastAsia" w:ascii="仿宋" w:hAnsi="仿宋" w:eastAsia="仿宋" w:cs="仿宋"/>
              <w:sz w:val="28"/>
              <w:szCs w:val="28"/>
            </w:rPr>
            <w:t>2</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_Toc5080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2.2 港区分布及概况</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_Toc5080 </w:instrText>
          </w:r>
          <w:r>
            <w:rPr>
              <w:rFonts w:hint="eastAsia" w:ascii="仿宋" w:hAnsi="仿宋" w:eastAsia="仿宋" w:cs="仿宋"/>
              <w:sz w:val="28"/>
              <w:szCs w:val="28"/>
            </w:rPr>
            <w:fldChar w:fldCharType="separate"/>
          </w:r>
          <w:r>
            <w:rPr>
              <w:rFonts w:hint="eastAsia" w:ascii="仿宋" w:hAnsi="仿宋" w:eastAsia="仿宋" w:cs="仿宋"/>
              <w:sz w:val="28"/>
              <w:szCs w:val="28"/>
            </w:rPr>
            <w:t>2</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_Toc13259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2.3 水文气象</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_Toc13259 </w:instrText>
          </w:r>
          <w:r>
            <w:rPr>
              <w:rFonts w:hint="eastAsia" w:ascii="仿宋" w:hAnsi="仿宋" w:eastAsia="仿宋" w:cs="仿宋"/>
              <w:sz w:val="28"/>
              <w:szCs w:val="28"/>
            </w:rPr>
            <w:fldChar w:fldCharType="separate"/>
          </w:r>
          <w:r>
            <w:rPr>
              <w:rFonts w:hint="eastAsia" w:ascii="仿宋" w:hAnsi="仿宋" w:eastAsia="仿宋" w:cs="仿宋"/>
              <w:sz w:val="28"/>
              <w:szCs w:val="28"/>
            </w:rPr>
            <w:t>3</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_Toc670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2.4 港口航道</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_Toc670 </w:instrText>
          </w:r>
          <w:r>
            <w:rPr>
              <w:rFonts w:hint="eastAsia" w:ascii="仿宋" w:hAnsi="仿宋" w:eastAsia="仿宋" w:cs="仿宋"/>
              <w:sz w:val="28"/>
              <w:szCs w:val="28"/>
            </w:rPr>
            <w:fldChar w:fldCharType="separate"/>
          </w:r>
          <w:r>
            <w:rPr>
              <w:rFonts w:hint="eastAsia" w:ascii="仿宋" w:hAnsi="仿宋" w:eastAsia="仿宋" w:cs="仿宋"/>
              <w:sz w:val="28"/>
              <w:szCs w:val="28"/>
            </w:rPr>
            <w:t>6</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_Toc148 </w:instrText>
          </w:r>
          <w:r>
            <w:rPr>
              <w:rFonts w:hint="eastAsia" w:ascii="仿宋" w:hAnsi="仿宋" w:eastAsia="仿宋" w:cs="仿宋"/>
              <w:sz w:val="28"/>
              <w:szCs w:val="28"/>
            </w:rPr>
            <w:fldChar w:fldCharType="separate"/>
          </w:r>
          <w:r>
            <w:rPr>
              <w:rFonts w:hint="eastAsia" w:ascii="仿宋" w:hAnsi="仿宋" w:eastAsia="仿宋" w:cs="仿宋"/>
              <w:bCs/>
              <w:i w:val="0"/>
              <w:caps w:val="0"/>
              <w:spacing w:val="0"/>
              <w:kern w:val="0"/>
              <w:sz w:val="28"/>
              <w:szCs w:val="28"/>
              <w:lang w:val="en-US" w:eastAsia="zh-CN" w:bidi="ar"/>
            </w:rPr>
            <w:t>2.5 港口锚地</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_Toc148 </w:instrText>
          </w:r>
          <w:r>
            <w:rPr>
              <w:rFonts w:hint="eastAsia" w:ascii="仿宋" w:hAnsi="仿宋" w:eastAsia="仿宋" w:cs="仿宋"/>
              <w:sz w:val="28"/>
              <w:szCs w:val="28"/>
            </w:rPr>
            <w:fldChar w:fldCharType="separate"/>
          </w:r>
          <w:r>
            <w:rPr>
              <w:rFonts w:hint="eastAsia" w:ascii="仿宋" w:hAnsi="仿宋" w:eastAsia="仿宋" w:cs="仿宋"/>
              <w:sz w:val="28"/>
              <w:szCs w:val="28"/>
            </w:rPr>
            <w:t>8</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_Toc9235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 xml:space="preserve">2.6 </w:t>
          </w:r>
          <w:r>
            <w:rPr>
              <w:rFonts w:hint="eastAsia" w:ascii="仿宋" w:hAnsi="仿宋" w:eastAsia="仿宋" w:cs="仿宋"/>
              <w:bCs/>
              <w:sz w:val="28"/>
              <w:szCs w:val="28"/>
            </w:rPr>
            <w:t>台州海域环境敏感资源情况</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_Toc9235 </w:instrText>
          </w:r>
          <w:r>
            <w:rPr>
              <w:rFonts w:hint="eastAsia" w:ascii="仿宋" w:hAnsi="仿宋" w:eastAsia="仿宋" w:cs="仿宋"/>
              <w:sz w:val="28"/>
              <w:szCs w:val="28"/>
            </w:rPr>
            <w:fldChar w:fldCharType="separate"/>
          </w:r>
          <w:r>
            <w:rPr>
              <w:rFonts w:hint="eastAsia" w:ascii="仿宋" w:hAnsi="仿宋" w:eastAsia="仿宋" w:cs="仿宋"/>
              <w:sz w:val="28"/>
              <w:szCs w:val="28"/>
            </w:rPr>
            <w:t>10</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b/>
              <w:sz w:val="28"/>
              <w:szCs w:val="28"/>
            </w:rPr>
          </w:pPr>
          <w:r>
            <w:rPr>
              <w:rFonts w:hint="eastAsia" w:ascii="仿宋" w:hAnsi="仿宋" w:eastAsia="仿宋" w:cs="仿宋"/>
              <w:b/>
              <w:sz w:val="28"/>
              <w:szCs w:val="28"/>
            </w:rPr>
            <w:fldChar w:fldCharType="begin"/>
          </w:r>
          <w:r>
            <w:rPr>
              <w:rFonts w:hint="eastAsia" w:ascii="仿宋" w:hAnsi="仿宋" w:eastAsia="仿宋" w:cs="仿宋"/>
              <w:b/>
              <w:sz w:val="28"/>
              <w:szCs w:val="28"/>
            </w:rPr>
            <w:instrText xml:space="preserve"> HYPERLINK \l _Toc2912 </w:instrText>
          </w:r>
          <w:r>
            <w:rPr>
              <w:rFonts w:hint="eastAsia" w:ascii="仿宋" w:hAnsi="仿宋" w:eastAsia="仿宋" w:cs="仿宋"/>
              <w:b/>
              <w:sz w:val="28"/>
              <w:szCs w:val="28"/>
            </w:rPr>
            <w:fldChar w:fldCharType="separate"/>
          </w:r>
          <w:r>
            <w:rPr>
              <w:rFonts w:hint="eastAsia" w:ascii="仿宋" w:hAnsi="仿宋" w:eastAsia="仿宋" w:cs="仿宋"/>
              <w:b/>
              <w:bCs/>
              <w:sz w:val="28"/>
              <w:szCs w:val="28"/>
              <w:lang w:val="en-US" w:eastAsia="zh-CN"/>
            </w:rPr>
            <w:t>3、</w:t>
          </w:r>
          <w:r>
            <w:rPr>
              <w:rFonts w:hint="eastAsia" w:ascii="仿宋" w:hAnsi="仿宋" w:eastAsia="仿宋" w:cs="仿宋"/>
              <w:b/>
              <w:bCs/>
              <w:sz w:val="28"/>
              <w:szCs w:val="28"/>
            </w:rPr>
            <w:t>总体应急策略</w:t>
          </w:r>
          <w:r>
            <w:rPr>
              <w:rFonts w:hint="eastAsia" w:ascii="仿宋" w:hAnsi="仿宋" w:eastAsia="仿宋" w:cs="仿宋"/>
              <w:b/>
              <w:sz w:val="28"/>
              <w:szCs w:val="28"/>
            </w:rPr>
            <w:tab/>
          </w:r>
          <w:r>
            <w:rPr>
              <w:rFonts w:hint="eastAsia" w:ascii="仿宋" w:hAnsi="仿宋" w:eastAsia="仿宋" w:cs="仿宋"/>
              <w:b/>
              <w:sz w:val="28"/>
              <w:szCs w:val="28"/>
            </w:rPr>
            <w:fldChar w:fldCharType="begin"/>
          </w:r>
          <w:r>
            <w:rPr>
              <w:rFonts w:hint="eastAsia" w:ascii="仿宋" w:hAnsi="仿宋" w:eastAsia="仿宋" w:cs="仿宋"/>
              <w:b/>
              <w:sz w:val="28"/>
              <w:szCs w:val="28"/>
            </w:rPr>
            <w:instrText xml:space="preserve"> PAGEREF _Toc2912 </w:instrText>
          </w:r>
          <w:r>
            <w:rPr>
              <w:rFonts w:hint="eastAsia" w:ascii="仿宋" w:hAnsi="仿宋" w:eastAsia="仿宋" w:cs="仿宋"/>
              <w:b/>
              <w:sz w:val="28"/>
              <w:szCs w:val="28"/>
            </w:rPr>
            <w:fldChar w:fldCharType="separate"/>
          </w:r>
          <w:r>
            <w:rPr>
              <w:rFonts w:hint="eastAsia" w:ascii="仿宋" w:hAnsi="仿宋" w:eastAsia="仿宋" w:cs="仿宋"/>
              <w:b/>
              <w:sz w:val="28"/>
              <w:szCs w:val="28"/>
            </w:rPr>
            <w:t>11</w:t>
          </w:r>
          <w:r>
            <w:rPr>
              <w:rFonts w:hint="eastAsia" w:ascii="仿宋" w:hAnsi="仿宋" w:eastAsia="仿宋" w:cs="仿宋"/>
              <w:b/>
              <w:sz w:val="28"/>
              <w:szCs w:val="28"/>
            </w:rPr>
            <w:fldChar w:fldCharType="end"/>
          </w:r>
          <w:r>
            <w:rPr>
              <w:rFonts w:hint="eastAsia" w:ascii="仿宋" w:hAnsi="仿宋" w:eastAsia="仿宋" w:cs="仿宋"/>
              <w:b/>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_Toc8778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3.</w:t>
          </w:r>
          <w:r>
            <w:rPr>
              <w:rFonts w:hint="eastAsia" w:ascii="仿宋" w:hAnsi="仿宋" w:eastAsia="仿宋" w:cs="仿宋"/>
              <w:bCs/>
              <w:iCs/>
              <w:sz w:val="28"/>
              <w:szCs w:val="28"/>
            </w:rPr>
            <w:t>1策略描述</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_Toc8778 </w:instrText>
          </w:r>
          <w:r>
            <w:rPr>
              <w:rFonts w:hint="eastAsia" w:ascii="仿宋" w:hAnsi="仿宋" w:eastAsia="仿宋" w:cs="仿宋"/>
              <w:sz w:val="28"/>
              <w:szCs w:val="28"/>
            </w:rPr>
            <w:fldChar w:fldCharType="separate"/>
          </w:r>
          <w:r>
            <w:rPr>
              <w:rFonts w:hint="eastAsia" w:ascii="仿宋" w:hAnsi="仿宋" w:eastAsia="仿宋" w:cs="仿宋"/>
              <w:sz w:val="28"/>
              <w:szCs w:val="28"/>
            </w:rPr>
            <w:t>11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_Toc28812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3</w:t>
          </w:r>
          <w:r>
            <w:rPr>
              <w:rFonts w:hint="eastAsia" w:ascii="仿宋" w:hAnsi="仿宋" w:eastAsia="仿宋" w:cs="仿宋"/>
              <w:bCs/>
              <w:iCs/>
              <w:sz w:val="28"/>
              <w:szCs w:val="28"/>
            </w:rPr>
            <w:t>.2</w:t>
          </w:r>
          <w:r>
            <w:rPr>
              <w:rFonts w:hint="eastAsia" w:ascii="仿宋" w:hAnsi="仿宋" w:eastAsia="仿宋" w:cs="仿宋"/>
              <w:bCs/>
              <w:iCs/>
              <w:sz w:val="28"/>
              <w:szCs w:val="28"/>
              <w:lang w:val="en-US" w:eastAsia="zh-CN"/>
            </w:rPr>
            <w:t xml:space="preserve"> </w:t>
          </w:r>
          <w:r>
            <w:rPr>
              <w:rFonts w:hint="eastAsia" w:ascii="仿宋" w:hAnsi="仿宋" w:eastAsia="仿宋" w:cs="仿宋"/>
              <w:bCs/>
              <w:iCs/>
              <w:sz w:val="28"/>
              <w:szCs w:val="28"/>
            </w:rPr>
            <w:t>应急反应程序策略</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_Toc28812 </w:instrText>
          </w:r>
          <w:r>
            <w:rPr>
              <w:rFonts w:hint="eastAsia" w:ascii="仿宋" w:hAnsi="仿宋" w:eastAsia="仿宋" w:cs="仿宋"/>
              <w:sz w:val="28"/>
              <w:szCs w:val="28"/>
            </w:rPr>
            <w:fldChar w:fldCharType="separate"/>
          </w:r>
          <w:r>
            <w:rPr>
              <w:rFonts w:hint="eastAsia" w:ascii="仿宋" w:hAnsi="仿宋" w:eastAsia="仿宋" w:cs="仿宋"/>
              <w:sz w:val="28"/>
              <w:szCs w:val="28"/>
            </w:rPr>
            <w:t>12</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_Toc8308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3</w:t>
          </w:r>
          <w:r>
            <w:rPr>
              <w:rFonts w:hint="eastAsia" w:ascii="仿宋" w:hAnsi="仿宋" w:eastAsia="仿宋" w:cs="仿宋"/>
              <w:bCs/>
              <w:iCs/>
              <w:sz w:val="28"/>
              <w:szCs w:val="28"/>
            </w:rPr>
            <w:t>.3</w:t>
          </w:r>
          <w:r>
            <w:rPr>
              <w:rFonts w:hint="eastAsia" w:ascii="仿宋" w:hAnsi="仿宋" w:eastAsia="仿宋" w:cs="仿宋"/>
              <w:bCs/>
              <w:iCs/>
              <w:sz w:val="28"/>
              <w:szCs w:val="28"/>
              <w:lang w:val="en-US" w:eastAsia="zh-CN"/>
            </w:rPr>
            <w:t xml:space="preserve"> </w:t>
          </w:r>
          <w:r>
            <w:rPr>
              <w:rFonts w:hint="eastAsia" w:ascii="仿宋" w:hAnsi="仿宋" w:eastAsia="仿宋" w:cs="仿宋"/>
              <w:bCs/>
              <w:iCs/>
              <w:sz w:val="28"/>
              <w:szCs w:val="28"/>
            </w:rPr>
            <w:t>清污方案选择策略</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_Toc8308 </w:instrText>
          </w:r>
          <w:r>
            <w:rPr>
              <w:rFonts w:hint="eastAsia" w:ascii="仿宋" w:hAnsi="仿宋" w:eastAsia="仿宋" w:cs="仿宋"/>
              <w:sz w:val="28"/>
              <w:szCs w:val="28"/>
            </w:rPr>
            <w:fldChar w:fldCharType="separate"/>
          </w:r>
          <w:r>
            <w:rPr>
              <w:rFonts w:hint="eastAsia" w:ascii="仿宋" w:hAnsi="仿宋" w:eastAsia="仿宋" w:cs="仿宋"/>
              <w:sz w:val="28"/>
              <w:szCs w:val="28"/>
            </w:rPr>
            <w:t>13</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_Toc1446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3</w:t>
          </w:r>
          <w:r>
            <w:rPr>
              <w:rFonts w:hint="eastAsia" w:ascii="仿宋" w:hAnsi="仿宋" w:eastAsia="仿宋" w:cs="仿宋"/>
              <w:bCs/>
              <w:iCs/>
              <w:sz w:val="28"/>
              <w:szCs w:val="28"/>
            </w:rPr>
            <w:t>.</w:t>
          </w:r>
          <w:r>
            <w:rPr>
              <w:rFonts w:hint="eastAsia" w:ascii="仿宋" w:hAnsi="仿宋" w:eastAsia="仿宋" w:cs="仿宋"/>
              <w:bCs/>
              <w:iCs/>
              <w:sz w:val="28"/>
              <w:szCs w:val="28"/>
              <w:lang w:val="en-US" w:eastAsia="zh-CN"/>
            </w:rPr>
            <w:t xml:space="preserve">4 </w:t>
          </w:r>
          <w:r>
            <w:rPr>
              <w:rFonts w:hint="eastAsia" w:ascii="仿宋" w:hAnsi="仿宋" w:eastAsia="仿宋" w:cs="仿宋"/>
              <w:bCs/>
              <w:iCs/>
              <w:sz w:val="28"/>
              <w:szCs w:val="28"/>
            </w:rPr>
            <w:t>典型场景清污策略</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_Toc1446 </w:instrText>
          </w:r>
          <w:r>
            <w:rPr>
              <w:rFonts w:hint="eastAsia" w:ascii="仿宋" w:hAnsi="仿宋" w:eastAsia="仿宋" w:cs="仿宋"/>
              <w:sz w:val="28"/>
              <w:szCs w:val="28"/>
            </w:rPr>
            <w:fldChar w:fldCharType="separate"/>
          </w:r>
          <w:r>
            <w:rPr>
              <w:rFonts w:hint="eastAsia" w:ascii="仿宋" w:hAnsi="仿宋" w:eastAsia="仿宋" w:cs="仿宋"/>
              <w:sz w:val="28"/>
              <w:szCs w:val="28"/>
            </w:rPr>
            <w:t>14</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b/>
              <w:sz w:val="28"/>
              <w:szCs w:val="28"/>
            </w:rPr>
          </w:pPr>
          <w:r>
            <w:rPr>
              <w:rFonts w:hint="eastAsia" w:ascii="仿宋" w:hAnsi="仿宋" w:eastAsia="仿宋" w:cs="仿宋"/>
              <w:b/>
              <w:sz w:val="28"/>
              <w:szCs w:val="28"/>
            </w:rPr>
            <w:fldChar w:fldCharType="begin"/>
          </w:r>
          <w:r>
            <w:rPr>
              <w:rFonts w:hint="eastAsia" w:ascii="仿宋" w:hAnsi="仿宋" w:eastAsia="仿宋" w:cs="仿宋"/>
              <w:b/>
              <w:sz w:val="28"/>
              <w:szCs w:val="28"/>
            </w:rPr>
            <w:instrText xml:space="preserve"> HYPERLINK \l _Toc26753 </w:instrText>
          </w:r>
          <w:r>
            <w:rPr>
              <w:rFonts w:hint="eastAsia" w:ascii="仿宋" w:hAnsi="仿宋" w:eastAsia="仿宋" w:cs="仿宋"/>
              <w:b/>
              <w:sz w:val="28"/>
              <w:szCs w:val="28"/>
            </w:rPr>
            <w:fldChar w:fldCharType="separate"/>
          </w:r>
          <w:r>
            <w:rPr>
              <w:rFonts w:hint="eastAsia" w:ascii="仿宋" w:hAnsi="仿宋" w:eastAsia="仿宋" w:cs="仿宋"/>
              <w:b/>
              <w:bCs/>
              <w:sz w:val="28"/>
              <w:szCs w:val="28"/>
              <w:lang w:val="en-US" w:eastAsia="zh-CN"/>
            </w:rPr>
            <w:t>4、</w:t>
          </w:r>
          <w:r>
            <w:rPr>
              <w:rFonts w:hint="eastAsia" w:ascii="仿宋" w:hAnsi="仿宋" w:eastAsia="仿宋" w:cs="仿宋"/>
              <w:b/>
              <w:bCs/>
              <w:sz w:val="28"/>
              <w:szCs w:val="28"/>
            </w:rPr>
            <w:t>应急堵漏、卸载等污染控制方案</w:t>
          </w:r>
          <w:r>
            <w:rPr>
              <w:rFonts w:hint="eastAsia" w:ascii="仿宋" w:hAnsi="仿宋" w:eastAsia="仿宋" w:cs="仿宋"/>
              <w:b/>
              <w:sz w:val="28"/>
              <w:szCs w:val="28"/>
            </w:rPr>
            <w:tab/>
          </w:r>
          <w:r>
            <w:rPr>
              <w:rFonts w:hint="eastAsia" w:ascii="仿宋" w:hAnsi="仿宋" w:eastAsia="仿宋" w:cs="仿宋"/>
              <w:b/>
              <w:sz w:val="28"/>
              <w:szCs w:val="28"/>
            </w:rPr>
            <w:fldChar w:fldCharType="begin"/>
          </w:r>
          <w:r>
            <w:rPr>
              <w:rFonts w:hint="eastAsia" w:ascii="仿宋" w:hAnsi="仿宋" w:eastAsia="仿宋" w:cs="仿宋"/>
              <w:b/>
              <w:sz w:val="28"/>
              <w:szCs w:val="28"/>
            </w:rPr>
            <w:instrText xml:space="preserve"> PAGEREF _Toc26753 </w:instrText>
          </w:r>
          <w:r>
            <w:rPr>
              <w:rFonts w:hint="eastAsia" w:ascii="仿宋" w:hAnsi="仿宋" w:eastAsia="仿宋" w:cs="仿宋"/>
              <w:b/>
              <w:sz w:val="28"/>
              <w:szCs w:val="28"/>
            </w:rPr>
            <w:fldChar w:fldCharType="separate"/>
          </w:r>
          <w:r>
            <w:rPr>
              <w:rFonts w:hint="eastAsia" w:ascii="仿宋" w:hAnsi="仿宋" w:eastAsia="仿宋" w:cs="仿宋"/>
              <w:b/>
              <w:sz w:val="28"/>
              <w:szCs w:val="28"/>
            </w:rPr>
            <w:t>23</w:t>
          </w:r>
          <w:r>
            <w:rPr>
              <w:rFonts w:hint="eastAsia" w:ascii="仿宋" w:hAnsi="仿宋" w:eastAsia="仿宋" w:cs="仿宋"/>
              <w:b/>
              <w:sz w:val="28"/>
              <w:szCs w:val="28"/>
            </w:rPr>
            <w:fldChar w:fldCharType="end"/>
          </w:r>
          <w:r>
            <w:rPr>
              <w:rFonts w:hint="eastAsia" w:ascii="仿宋" w:hAnsi="仿宋" w:eastAsia="仿宋" w:cs="仿宋"/>
              <w:b/>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_Toc29967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 xml:space="preserve">4.1 </w:t>
          </w:r>
          <w:r>
            <w:rPr>
              <w:rFonts w:hint="eastAsia" w:ascii="仿宋" w:hAnsi="仿宋" w:eastAsia="仿宋" w:cs="仿宋"/>
              <w:bCs/>
              <w:iCs/>
              <w:sz w:val="28"/>
              <w:szCs w:val="28"/>
            </w:rPr>
            <w:t>应急堵漏方案</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_Toc29967 </w:instrText>
          </w:r>
          <w:r>
            <w:rPr>
              <w:rFonts w:hint="eastAsia" w:ascii="仿宋" w:hAnsi="仿宋" w:eastAsia="仿宋" w:cs="仿宋"/>
              <w:sz w:val="28"/>
              <w:szCs w:val="28"/>
            </w:rPr>
            <w:fldChar w:fldCharType="separate"/>
          </w:r>
          <w:r>
            <w:rPr>
              <w:rFonts w:hint="eastAsia" w:ascii="仿宋" w:hAnsi="仿宋" w:eastAsia="仿宋" w:cs="仿宋"/>
              <w:sz w:val="28"/>
              <w:szCs w:val="28"/>
            </w:rPr>
            <w:t>23</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_Toc10936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4</w:t>
          </w:r>
          <w:r>
            <w:rPr>
              <w:rFonts w:hint="eastAsia" w:ascii="仿宋" w:hAnsi="仿宋" w:eastAsia="仿宋" w:cs="仿宋"/>
              <w:bCs/>
              <w:iCs/>
              <w:sz w:val="28"/>
              <w:szCs w:val="28"/>
            </w:rPr>
            <w:t>.2</w:t>
          </w:r>
          <w:r>
            <w:rPr>
              <w:rFonts w:hint="eastAsia" w:ascii="仿宋" w:hAnsi="仿宋" w:eastAsia="仿宋" w:cs="仿宋"/>
              <w:bCs/>
              <w:iCs/>
              <w:sz w:val="28"/>
              <w:szCs w:val="28"/>
              <w:lang w:val="en-US" w:eastAsia="zh-CN"/>
            </w:rPr>
            <w:t xml:space="preserve"> </w:t>
          </w:r>
          <w:r>
            <w:rPr>
              <w:rFonts w:hint="eastAsia" w:ascii="仿宋" w:hAnsi="仿宋" w:eastAsia="仿宋" w:cs="仿宋"/>
              <w:bCs/>
              <w:iCs/>
              <w:sz w:val="28"/>
              <w:szCs w:val="28"/>
            </w:rPr>
            <w:t>应急卸载方案</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_Toc10936 </w:instrText>
          </w:r>
          <w:r>
            <w:rPr>
              <w:rFonts w:hint="eastAsia" w:ascii="仿宋" w:hAnsi="仿宋" w:eastAsia="仿宋" w:cs="仿宋"/>
              <w:sz w:val="28"/>
              <w:szCs w:val="28"/>
            </w:rPr>
            <w:fldChar w:fldCharType="separate"/>
          </w:r>
          <w:r>
            <w:rPr>
              <w:rFonts w:hint="eastAsia" w:ascii="仿宋" w:hAnsi="仿宋" w:eastAsia="仿宋" w:cs="仿宋"/>
              <w:sz w:val="28"/>
              <w:szCs w:val="28"/>
            </w:rPr>
            <w:t>25</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b/>
              <w:bCs/>
              <w:sz w:val="28"/>
              <w:szCs w:val="28"/>
            </w:rPr>
          </w:pP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HYPERLINK \l _Toc18354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lang w:val="en-US" w:eastAsia="zh-CN"/>
            </w:rPr>
            <w:t>5、</w:t>
          </w:r>
          <w:r>
            <w:rPr>
              <w:rFonts w:hint="eastAsia" w:ascii="仿宋" w:hAnsi="仿宋" w:eastAsia="仿宋" w:cs="仿宋"/>
              <w:b/>
              <w:bCs/>
              <w:sz w:val="28"/>
              <w:szCs w:val="28"/>
            </w:rPr>
            <w:t>主要敏感资源的围护和清除方案</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_Toc18354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25</w:t>
          </w:r>
          <w:r>
            <w:rPr>
              <w:rFonts w:hint="eastAsia" w:ascii="仿宋" w:hAnsi="仿宋" w:eastAsia="仿宋" w:cs="仿宋"/>
              <w:b/>
              <w:bCs/>
              <w:sz w:val="28"/>
              <w:szCs w:val="28"/>
            </w:rPr>
            <w:fldChar w:fldCharType="end"/>
          </w:r>
          <w:r>
            <w:rPr>
              <w:rFonts w:hint="eastAsia" w:ascii="仿宋" w:hAnsi="仿宋" w:eastAsia="仿宋" w:cs="仿宋"/>
              <w:b/>
              <w:bCs/>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_Toc1810 </w:instrText>
          </w:r>
          <w:r>
            <w:rPr>
              <w:rFonts w:hint="eastAsia" w:ascii="仿宋" w:hAnsi="仿宋" w:eastAsia="仿宋" w:cs="仿宋"/>
              <w:sz w:val="28"/>
              <w:szCs w:val="28"/>
            </w:rPr>
            <w:fldChar w:fldCharType="separate"/>
          </w:r>
          <w:r>
            <w:rPr>
              <w:rFonts w:hint="eastAsia" w:ascii="仿宋" w:hAnsi="仿宋" w:eastAsia="仿宋" w:cs="仿宋"/>
              <w:sz w:val="28"/>
              <w:szCs w:val="28"/>
              <w:lang w:val="en-US" w:eastAsia="zh-CN"/>
            </w:rPr>
            <w:t>5</w:t>
          </w:r>
          <w:r>
            <w:rPr>
              <w:rFonts w:hint="eastAsia" w:ascii="仿宋" w:hAnsi="仿宋" w:eastAsia="仿宋" w:cs="仿宋"/>
              <w:sz w:val="28"/>
              <w:szCs w:val="28"/>
            </w:rPr>
            <w:t>.1</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主要敏感资源围护方案</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_Toc1810 </w:instrText>
          </w:r>
          <w:r>
            <w:rPr>
              <w:rFonts w:hint="eastAsia" w:ascii="仿宋" w:hAnsi="仿宋" w:eastAsia="仿宋" w:cs="仿宋"/>
              <w:sz w:val="28"/>
              <w:szCs w:val="28"/>
            </w:rPr>
            <w:fldChar w:fldCharType="separate"/>
          </w:r>
          <w:r>
            <w:rPr>
              <w:rFonts w:hint="eastAsia" w:ascii="仿宋" w:hAnsi="仿宋" w:eastAsia="仿宋" w:cs="仿宋"/>
              <w:sz w:val="28"/>
              <w:szCs w:val="28"/>
            </w:rPr>
            <w:t>25</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_Toc5721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5</w:t>
          </w:r>
          <w:r>
            <w:rPr>
              <w:rFonts w:hint="eastAsia" w:ascii="仿宋" w:hAnsi="仿宋" w:eastAsia="仿宋" w:cs="仿宋"/>
              <w:bCs/>
              <w:sz w:val="28"/>
              <w:szCs w:val="28"/>
            </w:rPr>
            <w:t>.2</w:t>
          </w:r>
          <w:r>
            <w:rPr>
              <w:rFonts w:hint="eastAsia" w:ascii="仿宋" w:hAnsi="仿宋" w:eastAsia="仿宋" w:cs="仿宋"/>
              <w:bCs/>
              <w:sz w:val="28"/>
              <w:szCs w:val="28"/>
              <w:lang w:val="en-US" w:eastAsia="zh-CN"/>
            </w:rPr>
            <w:t xml:space="preserve"> </w:t>
          </w:r>
          <w:r>
            <w:rPr>
              <w:rFonts w:hint="eastAsia" w:ascii="仿宋" w:hAnsi="仿宋" w:eastAsia="仿宋" w:cs="仿宋"/>
              <w:bCs/>
              <w:sz w:val="28"/>
              <w:szCs w:val="28"/>
            </w:rPr>
            <w:t>生态敏感区的污染清除方案</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_Toc5721 </w:instrText>
          </w:r>
          <w:r>
            <w:rPr>
              <w:rFonts w:hint="eastAsia" w:ascii="仿宋" w:hAnsi="仿宋" w:eastAsia="仿宋" w:cs="仿宋"/>
              <w:sz w:val="28"/>
              <w:szCs w:val="28"/>
            </w:rPr>
            <w:fldChar w:fldCharType="separate"/>
          </w:r>
          <w:r>
            <w:rPr>
              <w:rFonts w:hint="eastAsia" w:ascii="仿宋" w:hAnsi="仿宋" w:eastAsia="仿宋" w:cs="仿宋"/>
              <w:sz w:val="28"/>
              <w:szCs w:val="28"/>
            </w:rPr>
            <w:t>31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b/>
              <w:sz w:val="28"/>
              <w:szCs w:val="28"/>
            </w:rPr>
          </w:pPr>
          <w:r>
            <w:rPr>
              <w:rFonts w:hint="eastAsia" w:ascii="仿宋" w:hAnsi="仿宋" w:eastAsia="仿宋" w:cs="仿宋"/>
              <w:b/>
              <w:sz w:val="28"/>
              <w:szCs w:val="28"/>
            </w:rPr>
            <w:fldChar w:fldCharType="begin"/>
          </w:r>
          <w:r>
            <w:rPr>
              <w:rFonts w:hint="eastAsia" w:ascii="仿宋" w:hAnsi="仿宋" w:eastAsia="仿宋" w:cs="仿宋"/>
              <w:b/>
              <w:sz w:val="28"/>
              <w:szCs w:val="28"/>
            </w:rPr>
            <w:instrText xml:space="preserve"> HYPERLINK \l _Toc6762 </w:instrText>
          </w:r>
          <w:r>
            <w:rPr>
              <w:rFonts w:hint="eastAsia" w:ascii="仿宋" w:hAnsi="仿宋" w:eastAsia="仿宋" w:cs="仿宋"/>
              <w:b/>
              <w:sz w:val="28"/>
              <w:szCs w:val="28"/>
            </w:rPr>
            <w:fldChar w:fldCharType="separate"/>
          </w:r>
          <w:r>
            <w:rPr>
              <w:rFonts w:hint="eastAsia" w:ascii="仿宋" w:hAnsi="仿宋" w:eastAsia="仿宋" w:cs="仿宋"/>
              <w:b/>
              <w:bCs/>
              <w:sz w:val="28"/>
              <w:szCs w:val="28"/>
              <w:lang w:val="en-US" w:eastAsia="zh-CN"/>
            </w:rPr>
            <w:t>6、</w:t>
          </w:r>
          <w:r>
            <w:rPr>
              <w:rFonts w:hint="eastAsia" w:ascii="仿宋" w:hAnsi="仿宋" w:eastAsia="仿宋" w:cs="仿宋"/>
              <w:b/>
              <w:bCs/>
              <w:sz w:val="28"/>
              <w:szCs w:val="28"/>
            </w:rPr>
            <w:t>海上污染物回收和清除方案</w:t>
          </w:r>
          <w:r>
            <w:rPr>
              <w:rFonts w:hint="eastAsia" w:ascii="仿宋" w:hAnsi="仿宋" w:eastAsia="仿宋" w:cs="仿宋"/>
              <w:b/>
              <w:sz w:val="28"/>
              <w:szCs w:val="28"/>
            </w:rPr>
            <w:tab/>
          </w:r>
          <w:r>
            <w:rPr>
              <w:rFonts w:hint="eastAsia" w:ascii="仿宋" w:hAnsi="仿宋" w:eastAsia="仿宋" w:cs="仿宋"/>
              <w:b/>
              <w:sz w:val="28"/>
              <w:szCs w:val="28"/>
            </w:rPr>
            <w:fldChar w:fldCharType="begin"/>
          </w:r>
          <w:r>
            <w:rPr>
              <w:rFonts w:hint="eastAsia" w:ascii="仿宋" w:hAnsi="仿宋" w:eastAsia="仿宋" w:cs="仿宋"/>
              <w:b/>
              <w:sz w:val="28"/>
              <w:szCs w:val="28"/>
            </w:rPr>
            <w:instrText xml:space="preserve"> PAGEREF _Toc6762 </w:instrText>
          </w:r>
          <w:r>
            <w:rPr>
              <w:rFonts w:hint="eastAsia" w:ascii="仿宋" w:hAnsi="仿宋" w:eastAsia="仿宋" w:cs="仿宋"/>
              <w:b/>
              <w:sz w:val="28"/>
              <w:szCs w:val="28"/>
            </w:rPr>
            <w:fldChar w:fldCharType="separate"/>
          </w:r>
          <w:r>
            <w:rPr>
              <w:rFonts w:hint="eastAsia" w:ascii="仿宋" w:hAnsi="仿宋" w:eastAsia="仿宋" w:cs="仿宋"/>
              <w:b/>
              <w:sz w:val="28"/>
              <w:szCs w:val="28"/>
            </w:rPr>
            <w:t>31</w:t>
          </w:r>
          <w:r>
            <w:rPr>
              <w:rFonts w:hint="eastAsia" w:ascii="仿宋" w:hAnsi="仿宋" w:eastAsia="仿宋" w:cs="仿宋"/>
              <w:b/>
              <w:sz w:val="28"/>
              <w:szCs w:val="28"/>
            </w:rPr>
            <w:fldChar w:fldCharType="end"/>
          </w:r>
          <w:r>
            <w:rPr>
              <w:rFonts w:hint="eastAsia" w:ascii="仿宋" w:hAnsi="仿宋" w:eastAsia="仿宋" w:cs="仿宋"/>
              <w:b/>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_Toc6492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6</w:t>
          </w:r>
          <w:r>
            <w:rPr>
              <w:rFonts w:hint="eastAsia" w:ascii="仿宋" w:hAnsi="仿宋" w:eastAsia="仿宋" w:cs="仿宋"/>
              <w:bCs/>
              <w:sz w:val="28"/>
              <w:szCs w:val="28"/>
            </w:rPr>
            <w:t>.1</w:t>
          </w:r>
          <w:r>
            <w:rPr>
              <w:rFonts w:hint="eastAsia" w:ascii="仿宋" w:hAnsi="仿宋" w:eastAsia="仿宋" w:cs="仿宋"/>
              <w:bCs/>
              <w:sz w:val="28"/>
              <w:szCs w:val="28"/>
              <w:lang w:val="en-US" w:eastAsia="zh-CN"/>
            </w:rPr>
            <w:t xml:space="preserve"> </w:t>
          </w:r>
          <w:r>
            <w:rPr>
              <w:rFonts w:hint="eastAsia" w:ascii="仿宋" w:hAnsi="仿宋" w:eastAsia="仿宋" w:cs="仿宋"/>
              <w:bCs/>
              <w:sz w:val="28"/>
              <w:szCs w:val="28"/>
            </w:rPr>
            <w:t>溢油围控方案</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_Toc6492 </w:instrText>
          </w:r>
          <w:r>
            <w:rPr>
              <w:rFonts w:hint="eastAsia" w:ascii="仿宋" w:hAnsi="仿宋" w:eastAsia="仿宋" w:cs="仿宋"/>
              <w:sz w:val="28"/>
              <w:szCs w:val="28"/>
            </w:rPr>
            <w:fldChar w:fldCharType="separate"/>
          </w:r>
          <w:r>
            <w:rPr>
              <w:rFonts w:hint="eastAsia" w:ascii="仿宋" w:hAnsi="仿宋" w:eastAsia="仿宋" w:cs="仿宋"/>
              <w:sz w:val="28"/>
              <w:szCs w:val="28"/>
            </w:rPr>
            <w:t>31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_Toc7558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6</w:t>
          </w:r>
          <w:r>
            <w:rPr>
              <w:rFonts w:hint="eastAsia" w:ascii="仿宋" w:hAnsi="仿宋" w:eastAsia="仿宋" w:cs="仿宋"/>
              <w:bCs/>
              <w:sz w:val="28"/>
              <w:szCs w:val="28"/>
            </w:rPr>
            <w:t>.2</w:t>
          </w:r>
          <w:r>
            <w:rPr>
              <w:rFonts w:hint="eastAsia" w:ascii="仿宋" w:hAnsi="仿宋" w:eastAsia="仿宋" w:cs="仿宋"/>
              <w:bCs/>
              <w:sz w:val="28"/>
              <w:szCs w:val="28"/>
              <w:lang w:val="en-US" w:eastAsia="zh-CN"/>
            </w:rPr>
            <w:t xml:space="preserve"> </w:t>
          </w:r>
          <w:r>
            <w:rPr>
              <w:rFonts w:hint="eastAsia" w:ascii="仿宋" w:hAnsi="仿宋" w:eastAsia="仿宋" w:cs="仿宋"/>
              <w:bCs/>
              <w:sz w:val="28"/>
              <w:szCs w:val="28"/>
            </w:rPr>
            <w:t>海上回收和溢油清除方案</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_Toc7558 </w:instrText>
          </w:r>
          <w:r>
            <w:rPr>
              <w:rFonts w:hint="eastAsia" w:ascii="仿宋" w:hAnsi="仿宋" w:eastAsia="仿宋" w:cs="仿宋"/>
              <w:sz w:val="28"/>
              <w:szCs w:val="28"/>
            </w:rPr>
            <w:fldChar w:fldCharType="separate"/>
          </w:r>
          <w:r>
            <w:rPr>
              <w:rFonts w:hint="eastAsia" w:ascii="仿宋" w:hAnsi="仿宋" w:eastAsia="仿宋" w:cs="仿宋"/>
              <w:sz w:val="28"/>
              <w:szCs w:val="28"/>
            </w:rPr>
            <w:t>42</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b/>
              <w:sz w:val="28"/>
              <w:szCs w:val="28"/>
            </w:rPr>
          </w:pPr>
          <w:r>
            <w:rPr>
              <w:rFonts w:hint="eastAsia" w:ascii="仿宋" w:hAnsi="仿宋" w:eastAsia="仿宋" w:cs="仿宋"/>
              <w:b/>
              <w:sz w:val="28"/>
              <w:szCs w:val="28"/>
            </w:rPr>
            <w:fldChar w:fldCharType="begin"/>
          </w:r>
          <w:r>
            <w:rPr>
              <w:rFonts w:hint="eastAsia" w:ascii="仿宋" w:hAnsi="仿宋" w:eastAsia="仿宋" w:cs="仿宋"/>
              <w:b/>
              <w:sz w:val="28"/>
              <w:szCs w:val="28"/>
            </w:rPr>
            <w:instrText xml:space="preserve"> HYPERLINK \l _Toc13339 </w:instrText>
          </w:r>
          <w:r>
            <w:rPr>
              <w:rFonts w:hint="eastAsia" w:ascii="仿宋" w:hAnsi="仿宋" w:eastAsia="仿宋" w:cs="仿宋"/>
              <w:b/>
              <w:sz w:val="28"/>
              <w:szCs w:val="28"/>
            </w:rPr>
            <w:fldChar w:fldCharType="separate"/>
          </w:r>
          <w:r>
            <w:rPr>
              <w:rFonts w:hint="eastAsia" w:ascii="仿宋" w:hAnsi="仿宋" w:eastAsia="仿宋" w:cs="仿宋"/>
              <w:b/>
              <w:bCs/>
              <w:sz w:val="28"/>
              <w:szCs w:val="28"/>
              <w:lang w:val="en-US" w:eastAsia="zh-CN"/>
            </w:rPr>
            <w:t>7、</w:t>
          </w:r>
          <w:r>
            <w:rPr>
              <w:rFonts w:hint="eastAsia" w:ascii="仿宋" w:hAnsi="仿宋" w:eastAsia="仿宋" w:cs="仿宋"/>
              <w:b/>
              <w:bCs/>
              <w:sz w:val="28"/>
              <w:szCs w:val="28"/>
            </w:rPr>
            <w:t>岸线清污方案</w:t>
          </w:r>
          <w:r>
            <w:rPr>
              <w:rFonts w:hint="eastAsia" w:ascii="仿宋" w:hAnsi="仿宋" w:eastAsia="仿宋" w:cs="仿宋"/>
              <w:b/>
              <w:sz w:val="28"/>
              <w:szCs w:val="28"/>
            </w:rPr>
            <w:tab/>
          </w:r>
          <w:r>
            <w:rPr>
              <w:rFonts w:hint="eastAsia" w:ascii="仿宋" w:hAnsi="仿宋" w:eastAsia="仿宋" w:cs="仿宋"/>
              <w:b/>
              <w:sz w:val="28"/>
              <w:szCs w:val="28"/>
            </w:rPr>
            <w:fldChar w:fldCharType="begin"/>
          </w:r>
          <w:r>
            <w:rPr>
              <w:rFonts w:hint="eastAsia" w:ascii="仿宋" w:hAnsi="仿宋" w:eastAsia="仿宋" w:cs="仿宋"/>
              <w:b/>
              <w:sz w:val="28"/>
              <w:szCs w:val="28"/>
            </w:rPr>
            <w:instrText xml:space="preserve"> PAGEREF _Toc13339 </w:instrText>
          </w:r>
          <w:r>
            <w:rPr>
              <w:rFonts w:hint="eastAsia" w:ascii="仿宋" w:hAnsi="仿宋" w:eastAsia="仿宋" w:cs="仿宋"/>
              <w:b/>
              <w:sz w:val="28"/>
              <w:szCs w:val="28"/>
            </w:rPr>
            <w:fldChar w:fldCharType="separate"/>
          </w:r>
          <w:r>
            <w:rPr>
              <w:rFonts w:hint="eastAsia" w:ascii="仿宋" w:hAnsi="仿宋" w:eastAsia="仿宋" w:cs="仿宋"/>
              <w:b/>
              <w:sz w:val="28"/>
              <w:szCs w:val="28"/>
            </w:rPr>
            <w:t>60</w:t>
          </w:r>
          <w:r>
            <w:rPr>
              <w:rFonts w:hint="eastAsia" w:ascii="仿宋" w:hAnsi="仿宋" w:eastAsia="仿宋" w:cs="仿宋"/>
              <w:b/>
              <w:sz w:val="28"/>
              <w:szCs w:val="28"/>
            </w:rPr>
            <w:fldChar w:fldCharType="end"/>
          </w:r>
          <w:r>
            <w:rPr>
              <w:rFonts w:hint="eastAsia" w:ascii="仿宋" w:hAnsi="仿宋" w:eastAsia="仿宋" w:cs="仿宋"/>
              <w:b/>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_Toc15818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7</w:t>
          </w:r>
          <w:r>
            <w:rPr>
              <w:rFonts w:hint="eastAsia" w:ascii="仿宋" w:hAnsi="仿宋" w:eastAsia="仿宋" w:cs="仿宋"/>
              <w:bCs/>
              <w:sz w:val="28"/>
              <w:szCs w:val="28"/>
            </w:rPr>
            <w:t>.</w:t>
          </w:r>
          <w:r>
            <w:rPr>
              <w:rFonts w:hint="eastAsia" w:ascii="仿宋" w:hAnsi="仿宋" w:eastAsia="仿宋" w:cs="仿宋"/>
              <w:bCs/>
              <w:sz w:val="28"/>
              <w:szCs w:val="28"/>
              <w:lang w:val="en-US" w:eastAsia="zh-CN"/>
            </w:rPr>
            <w:t xml:space="preserve">1 </w:t>
          </w:r>
          <w:r>
            <w:rPr>
              <w:rFonts w:hint="eastAsia" w:ascii="仿宋" w:hAnsi="仿宋" w:eastAsia="仿宋" w:cs="仿宋"/>
              <w:bCs/>
              <w:sz w:val="28"/>
              <w:szCs w:val="28"/>
            </w:rPr>
            <w:t>油在不同类型海岸线的状态及影响</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_Toc15818 </w:instrText>
          </w:r>
          <w:r>
            <w:rPr>
              <w:rFonts w:hint="eastAsia" w:ascii="仿宋" w:hAnsi="仿宋" w:eastAsia="仿宋" w:cs="仿宋"/>
              <w:sz w:val="28"/>
              <w:szCs w:val="28"/>
            </w:rPr>
            <w:fldChar w:fldCharType="separate"/>
          </w:r>
          <w:r>
            <w:rPr>
              <w:rFonts w:hint="eastAsia" w:ascii="仿宋" w:hAnsi="仿宋" w:eastAsia="仿宋" w:cs="仿宋"/>
              <w:sz w:val="28"/>
              <w:szCs w:val="28"/>
            </w:rPr>
            <w:t>60</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_Toc32172 </w:instrText>
          </w:r>
          <w:r>
            <w:rPr>
              <w:rFonts w:hint="eastAsia" w:ascii="仿宋" w:hAnsi="仿宋" w:eastAsia="仿宋" w:cs="仿宋"/>
              <w:sz w:val="28"/>
              <w:szCs w:val="28"/>
            </w:rPr>
            <w:fldChar w:fldCharType="separate"/>
          </w:r>
          <w:r>
            <w:rPr>
              <w:rFonts w:hint="eastAsia" w:ascii="仿宋" w:hAnsi="仿宋" w:eastAsia="仿宋" w:cs="仿宋"/>
              <w:bCs/>
              <w:sz w:val="28"/>
              <w:szCs w:val="28"/>
              <w:lang w:val="en-US" w:eastAsia="zh-CN"/>
            </w:rPr>
            <w:t>7</w:t>
          </w:r>
          <w:r>
            <w:rPr>
              <w:rFonts w:hint="eastAsia" w:ascii="仿宋" w:hAnsi="仿宋" w:eastAsia="仿宋" w:cs="仿宋"/>
              <w:bCs/>
              <w:sz w:val="28"/>
              <w:szCs w:val="28"/>
            </w:rPr>
            <w:t>.2</w:t>
          </w:r>
          <w:r>
            <w:rPr>
              <w:rFonts w:hint="eastAsia" w:ascii="仿宋" w:hAnsi="仿宋" w:eastAsia="仿宋" w:cs="仿宋"/>
              <w:bCs/>
              <w:sz w:val="28"/>
              <w:szCs w:val="28"/>
              <w:lang w:val="en-US" w:eastAsia="zh-CN"/>
            </w:rPr>
            <w:t xml:space="preserve"> </w:t>
          </w:r>
          <w:r>
            <w:rPr>
              <w:rFonts w:hint="eastAsia" w:ascii="仿宋" w:hAnsi="仿宋" w:eastAsia="仿宋" w:cs="仿宋"/>
              <w:bCs/>
              <w:sz w:val="28"/>
              <w:szCs w:val="28"/>
            </w:rPr>
            <w:t>岸线的物理清除方法</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_Toc32172 </w:instrText>
          </w:r>
          <w:r>
            <w:rPr>
              <w:rFonts w:hint="eastAsia" w:ascii="仿宋" w:hAnsi="仿宋" w:eastAsia="仿宋" w:cs="仿宋"/>
              <w:sz w:val="28"/>
              <w:szCs w:val="28"/>
            </w:rPr>
            <w:fldChar w:fldCharType="separate"/>
          </w:r>
          <w:r>
            <w:rPr>
              <w:rFonts w:hint="eastAsia" w:ascii="仿宋" w:hAnsi="仿宋" w:eastAsia="仿宋" w:cs="仿宋"/>
              <w:sz w:val="28"/>
              <w:szCs w:val="28"/>
            </w:rPr>
            <w:t>60</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_Toc14375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7</w:t>
          </w:r>
          <w:r>
            <w:rPr>
              <w:rFonts w:hint="eastAsia" w:ascii="仿宋" w:hAnsi="仿宋" w:eastAsia="仿宋" w:cs="仿宋"/>
              <w:bCs/>
              <w:iCs/>
              <w:sz w:val="28"/>
              <w:szCs w:val="28"/>
            </w:rPr>
            <w:t>.3不同类型岸线污染清除方法</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_Toc14375 </w:instrText>
          </w:r>
          <w:r>
            <w:rPr>
              <w:rFonts w:hint="eastAsia" w:ascii="仿宋" w:hAnsi="仿宋" w:eastAsia="仿宋" w:cs="仿宋"/>
              <w:sz w:val="28"/>
              <w:szCs w:val="28"/>
            </w:rPr>
            <w:fldChar w:fldCharType="separate"/>
          </w:r>
          <w:r>
            <w:rPr>
              <w:rFonts w:hint="eastAsia" w:ascii="仿宋" w:hAnsi="仿宋" w:eastAsia="仿宋" w:cs="仿宋"/>
              <w:sz w:val="28"/>
              <w:szCs w:val="28"/>
            </w:rPr>
            <w:t>63</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b/>
              <w:bCs/>
              <w:sz w:val="28"/>
              <w:szCs w:val="28"/>
            </w:rPr>
          </w:pP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HYPERLINK \l _Toc10113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lang w:val="en-US" w:eastAsia="zh-CN"/>
            </w:rPr>
            <w:t>8、</w:t>
          </w:r>
          <w:r>
            <w:rPr>
              <w:rFonts w:hint="eastAsia" w:ascii="仿宋" w:hAnsi="仿宋" w:eastAsia="仿宋" w:cs="仿宋"/>
              <w:b/>
              <w:bCs/>
              <w:sz w:val="28"/>
              <w:szCs w:val="28"/>
            </w:rPr>
            <w:t>污染清除作业安全方案</w:t>
          </w:r>
          <w:r>
            <w:rPr>
              <w:rFonts w:hint="eastAsia" w:ascii="仿宋" w:hAnsi="仿宋" w:eastAsia="仿宋" w:cs="仿宋"/>
              <w:b/>
              <w:bCs/>
              <w:sz w:val="28"/>
              <w:szCs w:val="28"/>
            </w:rPr>
            <w:tab/>
          </w: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PAGEREF _Toc10113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rPr>
            <w:t>65</w:t>
          </w:r>
          <w:r>
            <w:rPr>
              <w:rFonts w:hint="eastAsia" w:ascii="仿宋" w:hAnsi="仿宋" w:eastAsia="仿宋" w:cs="仿宋"/>
              <w:b/>
              <w:bCs/>
              <w:sz w:val="28"/>
              <w:szCs w:val="28"/>
            </w:rPr>
            <w:fldChar w:fldCharType="end"/>
          </w:r>
          <w:r>
            <w:rPr>
              <w:rFonts w:hint="eastAsia" w:ascii="仿宋" w:hAnsi="仿宋" w:eastAsia="仿宋" w:cs="仿宋"/>
              <w:b/>
              <w:bCs/>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_Toc5505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8</w:t>
          </w:r>
          <w:r>
            <w:rPr>
              <w:rFonts w:hint="eastAsia" w:ascii="仿宋" w:hAnsi="仿宋" w:eastAsia="仿宋" w:cs="仿宋"/>
              <w:bCs/>
              <w:iCs/>
              <w:sz w:val="28"/>
              <w:szCs w:val="28"/>
            </w:rPr>
            <w:t>.1本公司配备的安全防护设备设施情况</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_Toc5505 </w:instrText>
          </w:r>
          <w:r>
            <w:rPr>
              <w:rFonts w:hint="eastAsia" w:ascii="仿宋" w:hAnsi="仿宋" w:eastAsia="仿宋" w:cs="仿宋"/>
              <w:sz w:val="28"/>
              <w:szCs w:val="28"/>
            </w:rPr>
            <w:fldChar w:fldCharType="separate"/>
          </w:r>
          <w:r>
            <w:rPr>
              <w:rFonts w:hint="eastAsia" w:ascii="仿宋" w:hAnsi="仿宋" w:eastAsia="仿宋" w:cs="仿宋"/>
              <w:sz w:val="28"/>
              <w:szCs w:val="28"/>
            </w:rPr>
            <w:t>65</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_Toc3591 </w:instrText>
          </w:r>
          <w:r>
            <w:rPr>
              <w:rFonts w:hint="eastAsia" w:ascii="仿宋" w:hAnsi="仿宋" w:eastAsia="仿宋" w:cs="仿宋"/>
              <w:sz w:val="28"/>
              <w:szCs w:val="28"/>
            </w:rPr>
            <w:fldChar w:fldCharType="separate"/>
          </w:r>
          <w:r>
            <w:rPr>
              <w:rFonts w:hint="eastAsia" w:ascii="仿宋" w:hAnsi="仿宋" w:eastAsia="仿宋" w:cs="仿宋"/>
              <w:bCs/>
              <w:iCs/>
              <w:sz w:val="28"/>
              <w:szCs w:val="28"/>
              <w:lang w:val="en-US" w:eastAsia="zh-CN"/>
            </w:rPr>
            <w:t>8</w:t>
          </w:r>
          <w:r>
            <w:rPr>
              <w:rFonts w:hint="eastAsia" w:ascii="仿宋" w:hAnsi="仿宋" w:eastAsia="仿宋" w:cs="仿宋"/>
              <w:bCs/>
              <w:iCs/>
              <w:sz w:val="28"/>
              <w:szCs w:val="28"/>
            </w:rPr>
            <w:t>.2</w:t>
          </w:r>
          <w:r>
            <w:rPr>
              <w:rFonts w:hint="eastAsia" w:ascii="仿宋" w:hAnsi="仿宋" w:eastAsia="仿宋" w:cs="仿宋"/>
              <w:bCs/>
              <w:iCs/>
              <w:sz w:val="28"/>
              <w:szCs w:val="28"/>
              <w:lang w:eastAsia="zh-CN"/>
            </w:rPr>
            <w:t>作员人员个人防护及作业安全</w:t>
          </w:r>
          <w:r>
            <w:rPr>
              <w:rFonts w:hint="eastAsia" w:ascii="仿宋" w:hAnsi="仿宋" w:eastAsia="仿宋" w:cs="仿宋"/>
              <w:bCs/>
              <w:iCs/>
              <w:sz w:val="28"/>
              <w:szCs w:val="28"/>
            </w:rPr>
            <w:t>方案</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_Toc3591 </w:instrText>
          </w:r>
          <w:r>
            <w:rPr>
              <w:rFonts w:hint="eastAsia" w:ascii="仿宋" w:hAnsi="仿宋" w:eastAsia="仿宋" w:cs="仿宋"/>
              <w:sz w:val="28"/>
              <w:szCs w:val="28"/>
            </w:rPr>
            <w:fldChar w:fldCharType="separate"/>
          </w:r>
          <w:r>
            <w:rPr>
              <w:rFonts w:hint="eastAsia" w:ascii="仿宋" w:hAnsi="仿宋" w:eastAsia="仿宋" w:cs="仿宋"/>
              <w:sz w:val="28"/>
              <w:szCs w:val="28"/>
            </w:rPr>
            <w:t>65</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9"/>
            <w:tabs>
              <w:tab w:val="right" w:leader="dot" w:pos="9070"/>
            </w:tabs>
            <w:spacing w:line="360" w:lineRule="auto"/>
            <w:rPr>
              <w:rFonts w:hint="eastAsia" w:ascii="仿宋" w:hAnsi="仿宋" w:eastAsia="仿宋" w:cs="仿宋"/>
              <w:b/>
              <w:bCs/>
              <w:sz w:val="28"/>
              <w:szCs w:val="28"/>
              <w:lang w:val="en-US" w:eastAsia="zh-CN"/>
            </w:rPr>
          </w:pP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HYPERLINK \l _Toc10113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lang w:val="en-US" w:eastAsia="zh-CN"/>
            </w:rPr>
            <w:t>9、</w:t>
          </w:r>
          <w:r>
            <w:rPr>
              <w:rFonts w:hint="eastAsia" w:ascii="仿宋" w:hAnsi="仿宋" w:eastAsia="仿宋" w:cs="仿宋"/>
              <w:b/>
              <w:bCs/>
              <w:sz w:val="28"/>
              <w:szCs w:val="28"/>
              <w:lang w:eastAsia="zh-CN"/>
            </w:rPr>
            <w:t>发放范围</w:t>
          </w:r>
          <w:r>
            <w:rPr>
              <w:rFonts w:hint="eastAsia" w:ascii="仿宋" w:hAnsi="仿宋" w:eastAsia="仿宋" w:cs="仿宋"/>
              <w:b/>
              <w:bCs/>
              <w:sz w:val="28"/>
              <w:szCs w:val="28"/>
            </w:rPr>
            <w:tab/>
          </w:r>
          <w:r>
            <w:rPr>
              <w:rFonts w:hint="eastAsia" w:ascii="仿宋" w:hAnsi="仿宋" w:eastAsia="仿宋" w:cs="仿宋"/>
              <w:b/>
              <w:bCs/>
              <w:sz w:val="28"/>
              <w:szCs w:val="28"/>
              <w:lang w:val="en-US" w:eastAsia="zh-CN"/>
            </w:rPr>
            <w:t>7</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t>0</w:t>
          </w:r>
        </w:p>
        <w:p>
          <w:pPr>
            <w:pStyle w:val="29"/>
            <w:tabs>
              <w:tab w:val="right" w:leader="dot" w:pos="9070"/>
            </w:tabs>
            <w:spacing w:line="360" w:lineRule="auto"/>
            <w:rPr>
              <w:rFonts w:hint="eastAsia" w:ascii="仿宋" w:hAnsi="仿宋" w:eastAsia="仿宋" w:cs="仿宋"/>
              <w:sz w:val="28"/>
              <w:szCs w:val="28"/>
              <w:lang w:val="en-US" w:eastAsia="zh-CN"/>
            </w:rPr>
          </w:pPr>
          <w:r>
            <w:rPr>
              <w:rFonts w:hint="eastAsia" w:ascii="仿宋" w:hAnsi="仿宋" w:eastAsia="仿宋" w:cs="仿宋"/>
              <w:b/>
              <w:bCs/>
              <w:sz w:val="28"/>
              <w:szCs w:val="28"/>
            </w:rPr>
            <w:fldChar w:fldCharType="begin"/>
          </w:r>
          <w:r>
            <w:rPr>
              <w:rFonts w:hint="eastAsia" w:ascii="仿宋" w:hAnsi="仿宋" w:eastAsia="仿宋" w:cs="仿宋"/>
              <w:b/>
              <w:bCs/>
              <w:sz w:val="28"/>
              <w:szCs w:val="28"/>
            </w:rPr>
            <w:instrText xml:space="preserve"> HYPERLINK \l _Toc10113 </w:instrText>
          </w:r>
          <w:r>
            <w:rPr>
              <w:rFonts w:hint="eastAsia" w:ascii="仿宋" w:hAnsi="仿宋" w:eastAsia="仿宋" w:cs="仿宋"/>
              <w:b/>
              <w:bCs/>
              <w:sz w:val="28"/>
              <w:szCs w:val="28"/>
            </w:rPr>
            <w:fldChar w:fldCharType="separate"/>
          </w:r>
          <w:r>
            <w:rPr>
              <w:rFonts w:hint="eastAsia" w:ascii="仿宋" w:hAnsi="仿宋" w:eastAsia="仿宋" w:cs="仿宋"/>
              <w:b/>
              <w:bCs/>
              <w:sz w:val="28"/>
              <w:szCs w:val="28"/>
              <w:lang w:val="en-US" w:eastAsia="zh-CN"/>
            </w:rPr>
            <w:t>10、</w:t>
          </w:r>
          <w:r>
            <w:rPr>
              <w:rFonts w:hint="eastAsia" w:ascii="仿宋" w:hAnsi="仿宋" w:eastAsia="仿宋" w:cs="仿宋"/>
              <w:b/>
              <w:bCs/>
              <w:sz w:val="28"/>
              <w:szCs w:val="28"/>
              <w:lang w:eastAsia="zh-CN"/>
            </w:rPr>
            <w:t>附表和附件</w:t>
          </w:r>
          <w:r>
            <w:rPr>
              <w:rFonts w:hint="eastAsia" w:ascii="仿宋" w:hAnsi="仿宋" w:eastAsia="仿宋" w:cs="仿宋"/>
              <w:b/>
              <w:bCs/>
              <w:sz w:val="28"/>
              <w:szCs w:val="28"/>
            </w:rPr>
            <w:tab/>
          </w:r>
          <w:r>
            <w:rPr>
              <w:rFonts w:hint="eastAsia" w:ascii="仿宋" w:hAnsi="仿宋" w:eastAsia="仿宋" w:cs="仿宋"/>
              <w:b/>
              <w:bCs/>
              <w:sz w:val="28"/>
              <w:szCs w:val="28"/>
              <w:lang w:val="en-US" w:eastAsia="zh-CN"/>
            </w:rPr>
            <w:t>7</w:t>
          </w:r>
          <w:r>
            <w:rPr>
              <w:rFonts w:hint="eastAsia" w:ascii="仿宋" w:hAnsi="仿宋" w:eastAsia="仿宋" w:cs="仿宋"/>
              <w:b/>
              <w:bCs/>
              <w:sz w:val="28"/>
              <w:szCs w:val="28"/>
            </w:rPr>
            <w:fldChar w:fldCharType="end"/>
          </w:r>
          <w:r>
            <w:rPr>
              <w:rFonts w:hint="eastAsia" w:ascii="仿宋" w:hAnsi="仿宋" w:eastAsia="仿宋" w:cs="仿宋"/>
              <w:b/>
              <w:bCs/>
              <w:sz w:val="28"/>
              <w:szCs w:val="28"/>
              <w:lang w:val="en-US" w:eastAsia="zh-CN"/>
            </w:rPr>
            <w:t>0</w:t>
          </w:r>
        </w:p>
        <w:p>
          <w:pPr>
            <w:pStyle w:val="29"/>
            <w:tabs>
              <w:tab w:val="right" w:leader="dot" w:pos="9070"/>
            </w:tabs>
            <w:spacing w:line="360" w:lineRule="auto"/>
            <w:rPr>
              <w:rFonts w:hint="eastAsia" w:ascii="仿宋" w:hAnsi="仿宋" w:eastAsia="仿宋" w:cs="仿宋"/>
              <w:b w:val="0"/>
              <w:bCs/>
              <w:sz w:val="28"/>
              <w:szCs w:val="28"/>
              <w:lang w:val="en-US" w:eastAsia="zh-CN"/>
            </w:rPr>
          </w:pPr>
          <w:r>
            <w:rPr>
              <w:rFonts w:hint="eastAsia" w:ascii="仿宋" w:hAnsi="仿宋" w:eastAsia="仿宋" w:cs="仿宋"/>
              <w:b w:val="0"/>
              <w:bCs/>
              <w:sz w:val="28"/>
              <w:szCs w:val="28"/>
            </w:rPr>
            <w:fldChar w:fldCharType="begin"/>
          </w:r>
          <w:r>
            <w:rPr>
              <w:rFonts w:hint="eastAsia" w:ascii="仿宋" w:hAnsi="仿宋" w:eastAsia="仿宋" w:cs="仿宋"/>
              <w:b w:val="0"/>
              <w:bCs/>
              <w:sz w:val="28"/>
              <w:szCs w:val="28"/>
            </w:rPr>
            <w:instrText xml:space="preserve"> HYPERLINK \l _Toc14546 </w:instrText>
          </w:r>
          <w:r>
            <w:rPr>
              <w:rFonts w:hint="eastAsia" w:ascii="仿宋" w:hAnsi="仿宋" w:eastAsia="仿宋" w:cs="仿宋"/>
              <w:b w:val="0"/>
              <w:bCs/>
              <w:sz w:val="28"/>
              <w:szCs w:val="28"/>
            </w:rPr>
            <w:fldChar w:fldCharType="separate"/>
          </w:r>
          <w:r>
            <w:rPr>
              <w:rFonts w:hint="eastAsia" w:ascii="仿宋" w:hAnsi="仿宋" w:eastAsia="仿宋" w:cs="仿宋"/>
              <w:b w:val="0"/>
              <w:bCs/>
              <w:sz w:val="28"/>
              <w:szCs w:val="28"/>
            </w:rPr>
            <w:t>附表1</w:t>
          </w:r>
          <w:r>
            <w:rPr>
              <w:rFonts w:hint="eastAsia" w:ascii="仿宋" w:hAnsi="仿宋" w:eastAsia="仿宋" w:cs="仿宋"/>
              <w:b w:val="0"/>
              <w:bCs/>
              <w:sz w:val="28"/>
              <w:szCs w:val="28"/>
              <w:lang w:val="en-US" w:eastAsia="zh-CN"/>
            </w:rPr>
            <w:t xml:space="preserve"> </w:t>
          </w:r>
          <w:r>
            <w:rPr>
              <w:rFonts w:hint="eastAsia" w:ascii="仿宋" w:hAnsi="仿宋" w:eastAsia="仿宋" w:cs="仿宋"/>
              <w:b w:val="0"/>
              <w:bCs/>
              <w:sz w:val="28"/>
              <w:szCs w:val="28"/>
            </w:rPr>
            <w:t>污染清除船靠船作业安全检查表</w:t>
          </w:r>
          <w:r>
            <w:rPr>
              <w:rFonts w:hint="eastAsia" w:ascii="仿宋" w:hAnsi="仿宋" w:eastAsia="仿宋" w:cs="仿宋"/>
              <w:b w:val="0"/>
              <w:bCs/>
              <w:sz w:val="28"/>
              <w:szCs w:val="28"/>
            </w:rPr>
            <w:tab/>
          </w:r>
          <w:r>
            <w:rPr>
              <w:rFonts w:hint="eastAsia" w:ascii="仿宋" w:hAnsi="仿宋" w:eastAsia="仿宋" w:cs="仿宋"/>
              <w:b w:val="0"/>
              <w:bCs/>
              <w:sz w:val="28"/>
              <w:szCs w:val="28"/>
              <w:lang w:val="en-US" w:eastAsia="zh-CN"/>
            </w:rPr>
            <w:t>7</w:t>
          </w:r>
          <w:r>
            <w:rPr>
              <w:rFonts w:hint="eastAsia" w:ascii="仿宋" w:hAnsi="仿宋" w:eastAsia="仿宋" w:cs="仿宋"/>
              <w:b w:val="0"/>
              <w:bCs/>
              <w:sz w:val="28"/>
              <w:szCs w:val="28"/>
            </w:rPr>
            <w:fldChar w:fldCharType="end"/>
          </w:r>
          <w:r>
            <w:rPr>
              <w:rFonts w:hint="eastAsia" w:ascii="仿宋" w:hAnsi="仿宋" w:eastAsia="仿宋" w:cs="仿宋"/>
              <w:b w:val="0"/>
              <w:bCs/>
              <w:sz w:val="28"/>
              <w:szCs w:val="28"/>
              <w:lang w:val="en-US" w:eastAsia="zh-CN"/>
            </w:rPr>
            <w:t>1</w:t>
          </w:r>
        </w:p>
        <w:p>
          <w:pPr>
            <w:pStyle w:val="29"/>
            <w:tabs>
              <w:tab w:val="right" w:leader="dot" w:pos="9070"/>
            </w:tabs>
            <w:spacing w:line="360" w:lineRule="auto"/>
            <w:rPr>
              <w:rFonts w:hint="eastAsia" w:ascii="仿宋" w:hAnsi="仿宋" w:eastAsia="仿宋" w:cs="仿宋"/>
              <w:b w:val="0"/>
              <w:bCs/>
              <w:sz w:val="28"/>
              <w:szCs w:val="28"/>
              <w:lang w:val="en-US" w:eastAsia="zh-CN"/>
            </w:rPr>
          </w:pPr>
          <w:r>
            <w:rPr>
              <w:rFonts w:hint="eastAsia" w:ascii="仿宋" w:hAnsi="仿宋" w:eastAsia="仿宋" w:cs="仿宋"/>
              <w:b w:val="0"/>
              <w:bCs/>
              <w:sz w:val="28"/>
              <w:szCs w:val="28"/>
            </w:rPr>
            <w:fldChar w:fldCharType="begin"/>
          </w:r>
          <w:r>
            <w:rPr>
              <w:rFonts w:hint="eastAsia" w:ascii="仿宋" w:hAnsi="仿宋" w:eastAsia="仿宋" w:cs="仿宋"/>
              <w:b w:val="0"/>
              <w:bCs/>
              <w:sz w:val="28"/>
              <w:szCs w:val="28"/>
            </w:rPr>
            <w:instrText xml:space="preserve"> HYPERLINK \l _Toc10121 </w:instrText>
          </w:r>
          <w:r>
            <w:rPr>
              <w:rFonts w:hint="eastAsia" w:ascii="仿宋" w:hAnsi="仿宋" w:eastAsia="仿宋" w:cs="仿宋"/>
              <w:b w:val="0"/>
              <w:bCs/>
              <w:sz w:val="28"/>
              <w:szCs w:val="28"/>
            </w:rPr>
            <w:fldChar w:fldCharType="separate"/>
          </w:r>
          <w:r>
            <w:rPr>
              <w:rFonts w:hint="eastAsia" w:ascii="仿宋" w:hAnsi="仿宋" w:eastAsia="仿宋" w:cs="仿宋"/>
              <w:b w:val="0"/>
              <w:bCs/>
              <w:sz w:val="28"/>
              <w:szCs w:val="28"/>
            </w:rPr>
            <w:t>附表2</w:t>
          </w:r>
          <w:r>
            <w:rPr>
              <w:rFonts w:hint="eastAsia" w:ascii="仿宋" w:hAnsi="仿宋" w:eastAsia="仿宋" w:cs="仿宋"/>
              <w:b w:val="0"/>
              <w:bCs/>
              <w:sz w:val="28"/>
              <w:szCs w:val="28"/>
              <w:lang w:val="en-US" w:eastAsia="zh-CN"/>
            </w:rPr>
            <w:t xml:space="preserve"> </w:t>
          </w:r>
          <w:r>
            <w:rPr>
              <w:rFonts w:hint="eastAsia" w:ascii="仿宋" w:hAnsi="仿宋" w:eastAsia="仿宋" w:cs="仿宋"/>
              <w:b w:val="0"/>
              <w:bCs/>
              <w:sz w:val="28"/>
              <w:szCs w:val="28"/>
            </w:rPr>
            <w:t>围控失效报告信息表</w:t>
          </w:r>
          <w:r>
            <w:rPr>
              <w:rFonts w:hint="eastAsia" w:ascii="仿宋" w:hAnsi="仿宋" w:eastAsia="仿宋" w:cs="仿宋"/>
              <w:b w:val="0"/>
              <w:bCs/>
              <w:sz w:val="28"/>
              <w:szCs w:val="28"/>
            </w:rPr>
            <w:tab/>
          </w:r>
          <w:r>
            <w:rPr>
              <w:rFonts w:hint="eastAsia" w:ascii="仿宋" w:hAnsi="仿宋" w:eastAsia="仿宋" w:cs="仿宋"/>
              <w:b w:val="0"/>
              <w:bCs/>
              <w:sz w:val="28"/>
              <w:szCs w:val="28"/>
              <w:lang w:val="en-US" w:eastAsia="zh-CN"/>
            </w:rPr>
            <w:t>7</w:t>
          </w:r>
          <w:r>
            <w:rPr>
              <w:rFonts w:hint="eastAsia" w:ascii="仿宋" w:hAnsi="仿宋" w:eastAsia="仿宋" w:cs="仿宋"/>
              <w:b w:val="0"/>
              <w:bCs/>
              <w:sz w:val="28"/>
              <w:szCs w:val="28"/>
            </w:rPr>
            <w:fldChar w:fldCharType="end"/>
          </w:r>
          <w:r>
            <w:rPr>
              <w:rFonts w:hint="eastAsia" w:ascii="仿宋" w:hAnsi="仿宋" w:eastAsia="仿宋" w:cs="仿宋"/>
              <w:b w:val="0"/>
              <w:bCs/>
              <w:sz w:val="28"/>
              <w:szCs w:val="28"/>
              <w:lang w:val="en-US" w:eastAsia="zh-CN"/>
            </w:rPr>
            <w:t>2</w:t>
          </w:r>
        </w:p>
        <w:p>
          <w:pPr>
            <w:pStyle w:val="23"/>
            <w:tabs>
              <w:tab w:val="right" w:leader="dot" w:pos="9070"/>
            </w:tabs>
            <w:rPr>
              <w:b/>
            </w:rPr>
          </w:pPr>
        </w:p>
        <w:p>
          <w:pPr>
            <w:sectPr>
              <w:footerReference r:id="rId5" w:type="first"/>
              <w:footerReference r:id="rId4" w:type="default"/>
              <w:pgSz w:w="11906" w:h="16838"/>
              <w:pgMar w:top="1247" w:right="1418" w:bottom="1247" w:left="1418" w:header="964" w:footer="851" w:gutter="0"/>
              <w:pgBorders w:offsetFrom="page">
                <w:top w:val="none" w:sz="0" w:space="0"/>
                <w:left w:val="none" w:sz="0" w:space="0"/>
                <w:bottom w:val="none" w:sz="0" w:space="0"/>
                <w:right w:val="none" w:sz="0" w:space="0"/>
              </w:pgBorders>
              <w:pgNumType w:fmt="decimal" w:start="1"/>
              <w:cols w:space="720" w:num="1"/>
              <w:titlePg/>
              <w:docGrid w:linePitch="312" w:charSpace="0"/>
            </w:sectPr>
          </w:pPr>
          <w:r>
            <w:fldChar w:fldCharType="end"/>
          </w:r>
        </w:p>
      </w:sdtContent>
    </w:sdt>
    <w:p/>
    <w:p>
      <w:pPr>
        <w:pStyle w:val="2"/>
        <w:numPr>
          <w:ilvl w:val="0"/>
          <w:numId w:val="0"/>
        </w:numPr>
        <w:tabs>
          <w:tab w:val="left" w:pos="542"/>
        </w:tabs>
        <w:spacing w:before="0" w:after="0" w:line="360" w:lineRule="auto"/>
        <w:ind w:right="0" w:rightChars="0" w:firstLine="562" w:firstLineChars="200"/>
        <w:jc w:val="both"/>
        <w:outlineLvl w:val="0"/>
        <w:rPr>
          <w:rFonts w:hint="eastAsia" w:ascii="仿宋" w:hAnsi="仿宋" w:eastAsia="仿宋" w:cs="仿宋"/>
          <w:b/>
          <w:color w:val="auto"/>
          <w:sz w:val="28"/>
          <w:szCs w:val="28"/>
        </w:rPr>
      </w:pPr>
      <w:bookmarkStart w:id="2" w:name="_Toc13790"/>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rPr>
        <w:t>总则</w:t>
      </w:r>
      <w:bookmarkEnd w:id="1"/>
      <w:bookmarkEnd w:id="2"/>
    </w:p>
    <w:p>
      <w:pPr>
        <w:pStyle w:val="19"/>
        <w:numPr>
          <w:ilvl w:val="0"/>
          <w:numId w:val="0"/>
        </w:numPr>
        <w:tabs>
          <w:tab w:val="left" w:pos="784"/>
        </w:tabs>
        <w:spacing w:before="0" w:after="0" w:line="360" w:lineRule="auto"/>
        <w:ind w:right="0" w:rightChars="0" w:firstLine="562" w:firstLineChars="200"/>
        <w:jc w:val="both"/>
        <w:outlineLvl w:val="1"/>
        <w:rPr>
          <w:rFonts w:hint="eastAsia" w:ascii="仿宋" w:hAnsi="仿宋" w:eastAsia="仿宋" w:cs="仿宋"/>
          <w:b/>
          <w:bCs w:val="0"/>
          <w:color w:val="auto"/>
          <w:sz w:val="28"/>
          <w:szCs w:val="28"/>
        </w:rPr>
      </w:pPr>
      <w:bookmarkStart w:id="3" w:name="_Toc8228"/>
      <w:r>
        <w:rPr>
          <w:rFonts w:hint="eastAsia" w:ascii="仿宋" w:hAnsi="仿宋" w:eastAsia="仿宋" w:cs="仿宋"/>
          <w:b/>
          <w:bCs w:val="0"/>
          <w:color w:val="auto"/>
          <w:sz w:val="28"/>
          <w:szCs w:val="28"/>
          <w:lang w:val="en-US" w:eastAsia="zh-CN"/>
        </w:rPr>
        <w:t xml:space="preserve">1.1 </w:t>
      </w:r>
      <w:r>
        <w:rPr>
          <w:rFonts w:hint="eastAsia" w:ascii="仿宋" w:hAnsi="仿宋" w:eastAsia="仿宋" w:cs="仿宋"/>
          <w:b/>
          <w:bCs w:val="0"/>
          <w:color w:val="auto"/>
          <w:sz w:val="28"/>
          <w:szCs w:val="28"/>
        </w:rPr>
        <w:t>目的</w:t>
      </w:r>
      <w:bookmarkEnd w:id="3"/>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为确保船舶污染物清除作业过程中的应急策略和具体操作方案能准确</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快速制订，在海上污染物回收和清除、主要敏感资源围护、岸线清污、应急堵漏和卸载等作业过程中有章可循，保障清污作业的有序和有效开展，确保清污作业人员的安全，并防止清污过程发生二次污染</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制定本方案</w:t>
      </w:r>
      <w:r>
        <w:rPr>
          <w:rFonts w:hint="eastAsia" w:ascii="仿宋" w:hAnsi="仿宋" w:eastAsia="仿宋" w:cs="仿宋"/>
          <w:color w:val="auto"/>
          <w:sz w:val="28"/>
          <w:szCs w:val="28"/>
        </w:rPr>
        <w:t>。</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本方案可用于具体清污作业的操作方案，也可用于本公司高级指挥人员、现场指挥人员与和应急操作人员的日常培训教材。</w:t>
      </w:r>
    </w:p>
    <w:p>
      <w:pPr>
        <w:pStyle w:val="7"/>
        <w:numPr>
          <w:ilvl w:val="0"/>
          <w:numId w:val="0"/>
        </w:numPr>
        <w:bidi w:val="0"/>
        <w:spacing w:line="360" w:lineRule="auto"/>
        <w:ind w:right="0" w:rightChars="0" w:firstLine="562" w:firstLineChars="200"/>
        <w:jc w:val="both"/>
        <w:outlineLvl w:val="1"/>
        <w:rPr>
          <w:rFonts w:hint="eastAsia" w:ascii="仿宋" w:hAnsi="仿宋" w:eastAsia="仿宋" w:cs="仿宋"/>
          <w:b/>
          <w:bCs/>
          <w:color w:val="auto"/>
          <w:sz w:val="28"/>
          <w:szCs w:val="28"/>
        </w:rPr>
      </w:pPr>
      <w:bookmarkStart w:id="4" w:name="_Toc21569"/>
      <w:r>
        <w:rPr>
          <w:rFonts w:hint="eastAsia" w:ascii="仿宋" w:hAnsi="仿宋" w:eastAsia="仿宋" w:cs="仿宋"/>
          <w:b/>
          <w:bCs/>
          <w:color w:val="auto"/>
          <w:sz w:val="28"/>
          <w:szCs w:val="28"/>
          <w:lang w:val="en-US" w:eastAsia="zh-CN"/>
        </w:rPr>
        <w:t xml:space="preserve">1.2 </w:t>
      </w:r>
      <w:r>
        <w:rPr>
          <w:rFonts w:hint="eastAsia" w:ascii="仿宋" w:hAnsi="仿宋" w:eastAsia="仿宋" w:cs="仿宋"/>
          <w:b/>
          <w:bCs/>
          <w:color w:val="auto"/>
          <w:sz w:val="28"/>
          <w:szCs w:val="28"/>
          <w:lang w:eastAsia="zh-CN"/>
        </w:rPr>
        <w:t>适用范围</w:t>
      </w:r>
      <w:bookmarkEnd w:id="4"/>
    </w:p>
    <w:p>
      <w:pPr>
        <w:pStyle w:val="7"/>
        <w:numPr>
          <w:ilvl w:val="0"/>
          <w:numId w:val="0"/>
        </w:numPr>
        <w:bidi w:val="0"/>
        <w:spacing w:line="360" w:lineRule="auto"/>
        <w:ind w:right="0" w:rightChars="0" w:firstLine="560" w:firstLineChars="200"/>
        <w:jc w:val="both"/>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rPr>
        <w:t>本方案适用</w:t>
      </w:r>
      <w:r>
        <w:rPr>
          <w:rFonts w:hint="eastAsia" w:ascii="仿宋" w:hAnsi="仿宋" w:eastAsia="仿宋" w:cs="仿宋"/>
          <w:b w:val="0"/>
          <w:bCs w:val="0"/>
          <w:color w:val="auto"/>
          <w:sz w:val="28"/>
          <w:szCs w:val="28"/>
          <w:lang w:val="en-US" w:eastAsia="zh-CN"/>
        </w:rPr>
        <w:t>于</w:t>
      </w:r>
      <w:r>
        <w:rPr>
          <w:rFonts w:hint="eastAsia" w:ascii="仿宋" w:hAnsi="仿宋" w:eastAsia="仿宋" w:cs="仿宋"/>
          <w:b w:val="0"/>
          <w:bCs w:val="0"/>
          <w:color w:val="auto"/>
          <w:sz w:val="28"/>
          <w:szCs w:val="28"/>
        </w:rPr>
        <w:t>船舶</w:t>
      </w:r>
      <w:r>
        <w:rPr>
          <w:rFonts w:hint="eastAsia" w:ascii="仿宋" w:hAnsi="仿宋" w:eastAsia="仿宋" w:cs="仿宋"/>
          <w:b w:val="0"/>
          <w:bCs w:val="0"/>
          <w:color w:val="auto"/>
          <w:sz w:val="28"/>
          <w:szCs w:val="28"/>
          <w:lang w:val="en-US" w:eastAsia="zh-CN"/>
        </w:rPr>
        <w:t>污染物</w:t>
      </w:r>
      <w:r>
        <w:rPr>
          <w:rFonts w:hint="eastAsia" w:ascii="仿宋" w:hAnsi="仿宋" w:eastAsia="仿宋" w:cs="仿宋"/>
          <w:b w:val="0"/>
          <w:bCs w:val="0"/>
          <w:color w:val="auto"/>
          <w:sz w:val="28"/>
          <w:szCs w:val="28"/>
        </w:rPr>
        <w:t>清除作业涉及的海上、河口的污染物回收和清除、主要敏感资源围护、岸线清污、应急堵漏和卸载、作业安全等内容。</w:t>
      </w:r>
    </w:p>
    <w:p>
      <w:pPr>
        <w:pStyle w:val="24"/>
        <w:keepNext/>
        <w:keepLines w:val="0"/>
        <w:pageBreakBefore w:val="0"/>
        <w:widowControl/>
        <w:kinsoku/>
        <w:wordWrap/>
        <w:overflowPunct/>
        <w:topLinePunct w:val="0"/>
        <w:autoSpaceDE/>
        <w:autoSpaceDN/>
        <w:bidi w:val="0"/>
        <w:adjustRightInd/>
        <w:snapToGrid/>
        <w:spacing w:before="164" w:beforeLines="50" w:after="164" w:afterLines="50" w:line="360" w:lineRule="auto"/>
        <w:ind w:left="0" w:leftChars="0" w:firstLine="562" w:firstLineChars="200"/>
        <w:jc w:val="both"/>
        <w:textAlignment w:val="auto"/>
        <w:outlineLvl w:val="1"/>
        <w:rPr>
          <w:rFonts w:hint="eastAsia" w:ascii="仿宋" w:hAnsi="仿宋" w:eastAsia="仿宋" w:cs="仿宋"/>
          <w:b/>
          <w:bCs/>
          <w:iCs/>
          <w:color w:val="auto"/>
          <w:sz w:val="28"/>
          <w:szCs w:val="28"/>
        </w:rPr>
      </w:pPr>
      <w:bookmarkStart w:id="5" w:name="_Toc3354"/>
      <w:bookmarkStart w:id="6" w:name="_Toc24010"/>
      <w:bookmarkStart w:id="7" w:name="_Toc24290"/>
      <w:r>
        <w:rPr>
          <w:rFonts w:hint="eastAsia" w:ascii="仿宋" w:hAnsi="仿宋" w:eastAsia="仿宋" w:cs="仿宋"/>
          <w:b/>
          <w:bCs/>
          <w:iCs/>
          <w:color w:val="auto"/>
          <w:sz w:val="28"/>
          <w:szCs w:val="28"/>
          <w:lang w:val="en-US" w:eastAsia="zh-CN"/>
        </w:rPr>
        <w:t>1.3</w:t>
      </w:r>
      <w:r>
        <w:rPr>
          <w:rFonts w:hint="eastAsia" w:ascii="仿宋" w:hAnsi="仿宋" w:eastAsia="仿宋" w:cs="仿宋"/>
          <w:b/>
          <w:bCs/>
          <w:iCs/>
          <w:color w:val="auto"/>
          <w:sz w:val="28"/>
          <w:szCs w:val="28"/>
        </w:rPr>
        <w:t>术语和定义</w:t>
      </w:r>
      <w:bookmarkEnd w:id="5"/>
      <w:bookmarkEnd w:id="6"/>
      <w:bookmarkEnd w:id="7"/>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outlineLvl w:val="2"/>
        <w:rPr>
          <w:rFonts w:hint="eastAsia" w:ascii="仿宋" w:hAnsi="仿宋" w:eastAsia="仿宋" w:cs="仿宋"/>
          <w:b w:val="0"/>
          <w:bCs w:val="0"/>
          <w:color w:val="auto"/>
          <w:sz w:val="28"/>
          <w:szCs w:val="28"/>
        </w:rPr>
      </w:pPr>
      <w:bookmarkStart w:id="8" w:name="_Toc18642"/>
      <w:r>
        <w:rPr>
          <w:rFonts w:hint="eastAsia" w:ascii="仿宋" w:hAnsi="仿宋" w:eastAsia="仿宋" w:cs="仿宋"/>
          <w:b w:val="0"/>
          <w:bCs w:val="0"/>
          <w:color w:val="auto"/>
          <w:sz w:val="28"/>
          <w:szCs w:val="28"/>
          <w:lang w:val="en-US" w:eastAsia="zh-CN"/>
        </w:rPr>
        <w:t xml:space="preserve">1.3.1 </w:t>
      </w:r>
      <w:r>
        <w:rPr>
          <w:rFonts w:hint="eastAsia" w:ascii="仿宋" w:hAnsi="仿宋" w:eastAsia="仿宋" w:cs="仿宋"/>
          <w:b w:val="0"/>
          <w:bCs w:val="0"/>
          <w:color w:val="auto"/>
          <w:sz w:val="28"/>
          <w:szCs w:val="28"/>
        </w:rPr>
        <w:fldChar w:fldCharType="begin"/>
      </w:r>
      <w:r>
        <w:rPr>
          <w:rFonts w:hint="eastAsia" w:ascii="仿宋" w:hAnsi="仿宋" w:eastAsia="仿宋" w:cs="仿宋"/>
          <w:b w:val="0"/>
          <w:bCs w:val="0"/>
          <w:color w:val="auto"/>
          <w:sz w:val="28"/>
          <w:szCs w:val="28"/>
        </w:rPr>
        <w:instrText xml:space="preserve"> HYPERLINK "http://www.china.com.cn/policy/txt/2010-10/08/content_21073731_2.htm" \t "_blank" </w:instrText>
      </w:r>
      <w:r>
        <w:rPr>
          <w:rFonts w:hint="eastAsia" w:ascii="仿宋" w:hAnsi="仿宋" w:eastAsia="仿宋" w:cs="仿宋"/>
          <w:b w:val="0"/>
          <w:bCs w:val="0"/>
          <w:color w:val="auto"/>
          <w:sz w:val="28"/>
          <w:szCs w:val="28"/>
        </w:rPr>
        <w:fldChar w:fldCharType="separate"/>
      </w:r>
      <w:r>
        <w:rPr>
          <w:rFonts w:hint="eastAsia" w:ascii="仿宋" w:hAnsi="仿宋" w:eastAsia="仿宋" w:cs="仿宋"/>
          <w:b w:val="0"/>
          <w:bCs w:val="0"/>
          <w:color w:val="auto"/>
          <w:sz w:val="28"/>
          <w:szCs w:val="28"/>
        </w:rPr>
        <w:t>油类</w:t>
      </w:r>
      <w:r>
        <w:rPr>
          <w:rFonts w:hint="eastAsia" w:ascii="仿宋" w:hAnsi="仿宋" w:eastAsia="仿宋" w:cs="仿宋"/>
          <w:b w:val="0"/>
          <w:bCs w:val="0"/>
          <w:color w:val="auto"/>
          <w:sz w:val="28"/>
          <w:szCs w:val="28"/>
        </w:rPr>
        <w:fldChar w:fldCharType="end"/>
      </w:r>
      <w:bookmarkEnd w:id="8"/>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rPr>
        <w:t>任何类型的油及其炼制品。</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outlineLvl w:val="2"/>
        <w:rPr>
          <w:rFonts w:hint="eastAsia" w:ascii="仿宋" w:hAnsi="仿宋" w:eastAsia="仿宋" w:cs="仿宋"/>
          <w:b w:val="0"/>
          <w:bCs w:val="0"/>
          <w:color w:val="auto"/>
          <w:sz w:val="28"/>
          <w:szCs w:val="28"/>
        </w:rPr>
      </w:pPr>
      <w:bookmarkStart w:id="9" w:name="_Toc27641"/>
      <w:r>
        <w:rPr>
          <w:rFonts w:hint="eastAsia" w:ascii="仿宋" w:hAnsi="仿宋" w:eastAsia="仿宋" w:cs="仿宋"/>
          <w:b w:val="0"/>
          <w:bCs w:val="0"/>
          <w:color w:val="auto"/>
          <w:sz w:val="28"/>
          <w:szCs w:val="28"/>
          <w:lang w:val="en-US" w:eastAsia="zh-CN"/>
        </w:rPr>
        <w:t xml:space="preserve">1.3.2 </w:t>
      </w:r>
      <w:r>
        <w:rPr>
          <w:rFonts w:hint="eastAsia" w:ascii="仿宋" w:hAnsi="仿宋" w:eastAsia="仿宋" w:cs="仿宋"/>
          <w:b w:val="0"/>
          <w:bCs w:val="0"/>
          <w:color w:val="auto"/>
          <w:sz w:val="28"/>
          <w:szCs w:val="28"/>
        </w:rPr>
        <w:t>持久性油类</w:t>
      </w:r>
      <w:bookmarkEnd w:id="9"/>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eastAsia" w:ascii="仿宋" w:hAnsi="仿宋" w:eastAsia="仿宋" w:cs="仿宋"/>
          <w:b w:val="0"/>
          <w:bCs w:val="0"/>
          <w:color w:val="auto"/>
          <w:sz w:val="28"/>
          <w:szCs w:val="28"/>
        </w:rPr>
      </w:pPr>
      <w:r>
        <w:rPr>
          <w:rFonts w:hint="eastAsia" w:ascii="仿宋" w:hAnsi="仿宋" w:eastAsia="仿宋" w:cs="仿宋"/>
          <w:b w:val="0"/>
          <w:bCs w:val="0"/>
          <w:color w:val="auto"/>
          <w:sz w:val="28"/>
          <w:szCs w:val="28"/>
        </w:rPr>
        <w:t>任何持久性烃类矿物油，例如原油、燃油、重柴油和润滑油等。持久性油类一经流入水域，即能形成一层油膜长期地存留在水面上，且能被风及水流所形成的表层流带到远处，在海岸造成集积，不易分解及氧化。</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outlineLvl w:val="2"/>
        <w:rPr>
          <w:rFonts w:hint="eastAsia" w:ascii="仿宋" w:hAnsi="仿宋" w:eastAsia="仿宋" w:cs="仿宋"/>
          <w:b w:val="0"/>
          <w:bCs w:val="0"/>
          <w:color w:val="auto"/>
          <w:sz w:val="28"/>
          <w:szCs w:val="28"/>
        </w:rPr>
      </w:pPr>
      <w:bookmarkStart w:id="10" w:name="_Toc10896"/>
      <w:r>
        <w:rPr>
          <w:rFonts w:hint="eastAsia" w:ascii="仿宋" w:hAnsi="仿宋" w:eastAsia="仿宋" w:cs="仿宋"/>
          <w:b w:val="0"/>
          <w:bCs w:val="0"/>
          <w:color w:val="auto"/>
          <w:sz w:val="28"/>
          <w:szCs w:val="28"/>
        </w:rPr>
        <w:t>1.3.3</w:t>
      </w:r>
      <w:r>
        <w:rPr>
          <w:rFonts w:hint="eastAsia" w:ascii="仿宋" w:hAnsi="仿宋" w:eastAsia="仿宋" w:cs="仿宋"/>
          <w:b w:val="0"/>
          <w:bCs w:val="0"/>
          <w:color w:val="auto"/>
          <w:sz w:val="28"/>
          <w:szCs w:val="28"/>
          <w:lang w:val="en-US" w:eastAsia="zh-CN"/>
        </w:rPr>
        <w:t xml:space="preserve"> </w:t>
      </w:r>
      <w:r>
        <w:rPr>
          <w:rFonts w:hint="eastAsia" w:ascii="仿宋" w:hAnsi="仿宋" w:eastAsia="仿宋" w:cs="仿宋"/>
          <w:b w:val="0"/>
          <w:bCs w:val="0"/>
          <w:color w:val="auto"/>
          <w:sz w:val="28"/>
          <w:szCs w:val="28"/>
        </w:rPr>
        <w:t>非持久性油类</w:t>
      </w:r>
      <w:bookmarkEnd w:id="10"/>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是指持久性油类以外的任何油类，例如汽油、轻质柴油、航空煤油、轻质原油等。</w:t>
      </w:r>
    </w:p>
    <w:p>
      <w:pPr>
        <w:keepLines w:val="0"/>
        <w:pageBreakBefore w:val="0"/>
        <w:widowControl/>
        <w:numPr>
          <w:ilvl w:val="0"/>
          <w:numId w:val="0"/>
        </w:numPr>
        <w:kinsoku/>
        <w:wordWrap/>
        <w:overflowPunct/>
        <w:topLinePunct w:val="0"/>
        <w:autoSpaceDE/>
        <w:autoSpaceDN/>
        <w:bidi w:val="0"/>
        <w:adjustRightInd/>
        <w:snapToGrid/>
        <w:spacing w:before="50" w:after="50" w:line="360" w:lineRule="auto"/>
        <w:ind w:right="0" w:rightChars="0" w:firstLine="562" w:firstLineChars="200"/>
        <w:textAlignment w:val="auto"/>
        <w:outlineLvl w:val="1"/>
        <w:rPr>
          <w:rFonts w:hint="eastAsia" w:ascii="仿宋" w:hAnsi="仿宋" w:eastAsia="仿宋" w:cs="仿宋"/>
          <w:b/>
          <w:bCs/>
          <w:color w:val="auto"/>
          <w:sz w:val="28"/>
          <w:szCs w:val="28"/>
          <w:lang w:val="en-US" w:eastAsia="zh-CN"/>
        </w:rPr>
      </w:pPr>
      <w:bookmarkStart w:id="11" w:name="_Toc4991"/>
      <w:r>
        <w:rPr>
          <w:rFonts w:hint="eastAsia" w:ascii="仿宋" w:hAnsi="仿宋" w:eastAsia="仿宋" w:cs="仿宋"/>
          <w:b/>
          <w:bCs/>
          <w:color w:val="auto"/>
          <w:sz w:val="28"/>
          <w:szCs w:val="28"/>
          <w:lang w:val="en-US" w:eastAsia="zh-CN"/>
        </w:rPr>
        <w:t>1.4 职责</w:t>
      </w:r>
      <w:bookmarkEnd w:id="11"/>
    </w:p>
    <w:p>
      <w:pPr>
        <w:adjustRightInd w:val="0"/>
        <w:snapToGrid w:val="0"/>
        <w:spacing w:line="360" w:lineRule="auto"/>
        <w:ind w:firstLine="560" w:firstLineChars="200"/>
        <w:rPr>
          <w:rFonts w:hint="eastAsia" w:ascii="仿宋" w:hAnsi="仿宋" w:eastAsia="仿宋"/>
          <w:color w:val="auto"/>
          <w:sz w:val="28"/>
          <w:szCs w:val="28"/>
          <w:lang w:val="en-US" w:eastAsia="zh-CN"/>
        </w:rPr>
      </w:pPr>
      <w:r>
        <w:rPr>
          <w:rFonts w:hint="eastAsia" w:ascii="仿宋" w:hAnsi="仿宋" w:eastAsia="仿宋"/>
          <w:color w:val="auto"/>
          <w:sz w:val="28"/>
          <w:szCs w:val="28"/>
          <w:lang w:eastAsia="zh-CN"/>
        </w:rPr>
        <w:t>本公司</w:t>
      </w:r>
      <w:r>
        <w:rPr>
          <w:rFonts w:hint="eastAsia" w:ascii="仿宋" w:hAnsi="仿宋" w:eastAsia="仿宋"/>
          <w:color w:val="auto"/>
          <w:sz w:val="28"/>
          <w:szCs w:val="28"/>
        </w:rPr>
        <w:t>设立船舶污染事故应急指挥</w:t>
      </w:r>
      <w:r>
        <w:rPr>
          <w:rFonts w:hint="eastAsia" w:ascii="仿宋" w:hAnsi="仿宋" w:eastAsia="仿宋"/>
          <w:color w:val="auto"/>
          <w:sz w:val="28"/>
          <w:szCs w:val="28"/>
          <w:lang w:eastAsia="zh-CN"/>
        </w:rPr>
        <w:t>中心</w:t>
      </w:r>
      <w:r>
        <w:rPr>
          <w:rFonts w:hint="eastAsia" w:ascii="仿宋" w:hAnsi="仿宋" w:eastAsia="仿宋"/>
          <w:color w:val="auto"/>
          <w:sz w:val="28"/>
          <w:szCs w:val="28"/>
        </w:rPr>
        <w:t>，负责组织实施本方案。</w:t>
      </w:r>
    </w:p>
    <w:p>
      <w:pPr>
        <w:pStyle w:val="2"/>
        <w:numPr>
          <w:ilvl w:val="0"/>
          <w:numId w:val="0"/>
        </w:numPr>
        <w:spacing w:before="1" w:line="360" w:lineRule="auto"/>
        <w:ind w:right="0" w:rightChars="0" w:firstLine="562" w:firstLineChars="200"/>
        <w:jc w:val="both"/>
        <w:outlineLvl w:val="0"/>
        <w:rPr>
          <w:rFonts w:hint="eastAsia" w:ascii="仿宋" w:hAnsi="仿宋" w:eastAsia="仿宋" w:cs="仿宋"/>
          <w:b/>
          <w:bCs/>
          <w:color w:val="auto"/>
          <w:sz w:val="28"/>
          <w:szCs w:val="28"/>
          <w:lang w:eastAsia="zh-CN"/>
        </w:rPr>
      </w:pPr>
      <w:bookmarkStart w:id="12" w:name="_Toc28579"/>
      <w:r>
        <w:rPr>
          <w:rFonts w:hint="eastAsia" w:ascii="仿宋" w:hAnsi="仿宋" w:eastAsia="仿宋" w:cs="仿宋"/>
          <w:b/>
          <w:bCs/>
          <w:color w:val="auto"/>
          <w:sz w:val="28"/>
          <w:szCs w:val="28"/>
          <w:lang w:val="en-US" w:eastAsia="zh-CN"/>
        </w:rPr>
        <w:t>2、</w:t>
      </w:r>
      <w:r>
        <w:rPr>
          <w:rFonts w:hint="eastAsia" w:ascii="仿宋" w:hAnsi="仿宋" w:eastAsia="仿宋" w:cs="仿宋"/>
          <w:b/>
          <w:bCs/>
          <w:color w:val="auto"/>
          <w:sz w:val="28"/>
          <w:szCs w:val="28"/>
        </w:rPr>
        <w:t>溢油应急服务区域</w:t>
      </w:r>
      <w:r>
        <w:rPr>
          <w:rFonts w:hint="eastAsia" w:ascii="仿宋" w:hAnsi="仿宋" w:eastAsia="仿宋" w:cs="仿宋"/>
          <w:b/>
          <w:bCs/>
          <w:color w:val="auto"/>
          <w:sz w:val="28"/>
          <w:szCs w:val="28"/>
          <w:lang w:eastAsia="zh-CN"/>
        </w:rPr>
        <w:t>概况</w:t>
      </w:r>
      <w:bookmarkEnd w:id="12"/>
    </w:p>
    <w:p>
      <w:pPr>
        <w:pStyle w:val="2"/>
        <w:numPr>
          <w:ilvl w:val="0"/>
          <w:numId w:val="0"/>
        </w:numPr>
        <w:spacing w:before="1" w:line="360" w:lineRule="auto"/>
        <w:ind w:right="0" w:rightChars="0" w:firstLine="562" w:firstLineChars="200"/>
        <w:jc w:val="both"/>
        <w:rPr>
          <w:rFonts w:hint="eastAsia" w:ascii="仿宋" w:hAnsi="仿宋" w:eastAsia="仿宋" w:cs="仿宋"/>
          <w:color w:val="auto"/>
          <w:sz w:val="28"/>
          <w:szCs w:val="28"/>
        </w:rPr>
      </w:pPr>
      <w:bookmarkStart w:id="13" w:name="_Toc18145"/>
      <w:r>
        <w:rPr>
          <w:rFonts w:hint="eastAsia" w:ascii="仿宋" w:hAnsi="仿宋" w:eastAsia="仿宋" w:cs="仿宋"/>
          <w:color w:val="auto"/>
          <w:sz w:val="28"/>
          <w:szCs w:val="28"/>
          <w:lang w:val="en-US" w:eastAsia="zh-CN"/>
        </w:rPr>
        <w:t xml:space="preserve">2.1 </w:t>
      </w:r>
      <w:r>
        <w:rPr>
          <w:rFonts w:hint="eastAsia" w:ascii="仿宋" w:hAnsi="仿宋" w:eastAsia="仿宋" w:cs="仿宋"/>
          <w:color w:val="auto"/>
          <w:sz w:val="28"/>
          <w:szCs w:val="28"/>
        </w:rPr>
        <w:t>地理位置</w:t>
      </w:r>
      <w:bookmarkEnd w:id="13"/>
    </w:p>
    <w:p>
      <w:pPr>
        <w:pStyle w:val="7"/>
        <w:spacing w:before="1" w:line="360" w:lineRule="auto"/>
        <w:ind w:right="342" w:firstLine="560" w:firstLineChars="200"/>
        <w:jc w:val="both"/>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rPr>
        <w:t>台州港位于</w:t>
      </w:r>
      <w:r>
        <w:rPr>
          <w:rFonts w:hint="eastAsia" w:ascii="仿宋" w:hAnsi="仿宋" w:eastAsia="仿宋" w:cs="仿宋"/>
          <w:color w:val="auto"/>
          <w:sz w:val="28"/>
          <w:szCs w:val="28"/>
          <w:lang w:eastAsia="zh-CN"/>
        </w:rPr>
        <w:t>浙江省沿海中部，北邻宁波，南接温州，是一个以海门港区为中心，大麦屿港区和健跳港区为南北两翼的多功能、全方位、综合性的现代化港口，为浙江中部的海陆联运枢纽，是台州、丽水、温州和宁波等地物资的重要转运口岸。台州港海门港区北距上海</w:t>
      </w:r>
      <w:r>
        <w:rPr>
          <w:rFonts w:hint="eastAsia" w:ascii="仿宋" w:hAnsi="仿宋" w:eastAsia="仿宋" w:cs="仿宋"/>
          <w:color w:val="auto"/>
          <w:sz w:val="28"/>
          <w:szCs w:val="28"/>
          <w:lang w:val="en-US" w:eastAsia="zh-CN"/>
        </w:rPr>
        <w:t>238海里，宁波-舟山港（宁波）北仑港区119海里，南距温州106海里，汕头港482海里。</w:t>
      </w:r>
    </w:p>
    <w:p>
      <w:pPr>
        <w:pStyle w:val="7"/>
        <w:spacing w:before="1" w:line="360" w:lineRule="auto"/>
        <w:ind w:right="342" w:firstLine="562" w:firstLineChars="200"/>
        <w:jc w:val="both"/>
        <w:outlineLvl w:val="1"/>
        <w:rPr>
          <w:rFonts w:hint="eastAsia" w:ascii="仿宋" w:hAnsi="仿宋" w:eastAsia="仿宋" w:cs="仿宋"/>
          <w:b/>
          <w:bCs/>
          <w:color w:val="auto"/>
          <w:sz w:val="28"/>
          <w:szCs w:val="28"/>
          <w:lang w:val="en-US" w:eastAsia="zh-CN"/>
        </w:rPr>
      </w:pPr>
      <w:bookmarkStart w:id="14" w:name="_Toc5080"/>
      <w:r>
        <w:rPr>
          <w:rFonts w:hint="eastAsia" w:ascii="仿宋" w:hAnsi="仿宋" w:eastAsia="仿宋" w:cs="仿宋"/>
          <w:b/>
          <w:bCs/>
          <w:color w:val="auto"/>
          <w:sz w:val="28"/>
          <w:szCs w:val="28"/>
          <w:lang w:val="en-US" w:eastAsia="zh-CN"/>
        </w:rPr>
        <w:t>2.2 港区分布及概况</w:t>
      </w:r>
      <w:bookmarkEnd w:id="14"/>
    </w:p>
    <w:p>
      <w:pPr>
        <w:pStyle w:val="7"/>
        <w:spacing w:before="1" w:line="360" w:lineRule="auto"/>
        <w:ind w:right="342" w:firstLine="560" w:firstLineChars="200"/>
        <w:jc w:val="both"/>
        <w:rPr>
          <w:rFonts w:hint="eastAsia" w:ascii="仿宋" w:hAnsi="仿宋" w:eastAsia="仿宋" w:cs="仿宋"/>
          <w:color w:val="auto"/>
          <w:spacing w:val="-6"/>
          <w:sz w:val="28"/>
          <w:szCs w:val="28"/>
          <w:lang w:eastAsia="zh-CN"/>
        </w:rPr>
      </w:pPr>
      <w:r>
        <w:rPr>
          <w:rFonts w:hint="eastAsia" w:ascii="仿宋" w:hAnsi="仿宋" w:eastAsia="仿宋" w:cs="仿宋"/>
          <w:color w:val="auto"/>
          <w:sz w:val="28"/>
          <w:szCs w:val="28"/>
          <w:lang w:val="en-US" w:eastAsia="zh-CN"/>
        </w:rPr>
        <w:t>台州港海岸线漫长，水域南北相距约160千米。</w:t>
      </w:r>
      <w:r>
        <w:rPr>
          <w:rFonts w:hint="eastAsia" w:ascii="仿宋" w:hAnsi="仿宋" w:eastAsia="仿宋" w:cs="仿宋"/>
          <w:color w:val="auto"/>
          <w:spacing w:val="-6"/>
          <w:sz w:val="28"/>
          <w:szCs w:val="28"/>
        </w:rPr>
        <w:t>由六个港区组成，由北向南依次是健跳港区、</w:t>
      </w:r>
      <w:r>
        <w:rPr>
          <w:rFonts w:hint="eastAsia" w:ascii="仿宋" w:hAnsi="仿宋" w:eastAsia="仿宋" w:cs="仿宋"/>
          <w:color w:val="auto"/>
          <w:spacing w:val="-6"/>
          <w:sz w:val="28"/>
          <w:szCs w:val="28"/>
          <w:lang w:eastAsia="zh-CN"/>
        </w:rPr>
        <w:t>头门</w:t>
      </w:r>
      <w:r>
        <w:rPr>
          <w:rFonts w:hint="eastAsia" w:ascii="仿宋" w:hAnsi="仿宋" w:eastAsia="仿宋" w:cs="仿宋"/>
          <w:color w:val="auto"/>
          <w:spacing w:val="-6"/>
          <w:sz w:val="28"/>
          <w:szCs w:val="28"/>
        </w:rPr>
        <w:t>港区、黄岩港区、海门港区、温岭港区和大麦屿港区</w:t>
      </w:r>
      <w:r>
        <w:rPr>
          <w:rFonts w:hint="eastAsia" w:ascii="仿宋" w:hAnsi="仿宋" w:eastAsia="仿宋" w:cs="仿宋"/>
          <w:color w:val="auto"/>
          <w:spacing w:val="-6"/>
          <w:sz w:val="28"/>
          <w:szCs w:val="28"/>
          <w:lang w:eastAsia="zh-CN"/>
        </w:rPr>
        <w:t>。</w:t>
      </w:r>
    </w:p>
    <w:p>
      <w:pPr>
        <w:pStyle w:val="7"/>
        <w:spacing w:before="0" w:line="360" w:lineRule="auto"/>
        <w:ind w:right="0" w:firstLine="560" w:firstLineChars="200"/>
        <w:jc w:val="both"/>
        <w:rPr>
          <w:rFonts w:hint="eastAsia" w:ascii="仿宋" w:hAnsi="仿宋" w:eastAsia="仿宋" w:cs="仿宋"/>
          <w:b w:val="0"/>
          <w:bCs/>
          <w:color w:val="auto"/>
          <w:sz w:val="28"/>
          <w:szCs w:val="28"/>
          <w:lang w:val="en-US" w:eastAsia="zh-CN"/>
        </w:rPr>
      </w:pPr>
      <w:r>
        <w:rPr>
          <w:rFonts w:hint="eastAsia" w:ascii="仿宋" w:hAnsi="仿宋" w:eastAsia="仿宋" w:cs="仿宋"/>
          <w:b w:val="0"/>
          <w:bCs/>
          <w:color w:val="auto"/>
          <w:sz w:val="28"/>
          <w:szCs w:val="28"/>
          <w:lang w:val="en-US" w:eastAsia="zh-CN"/>
        </w:rPr>
        <w:t xml:space="preserve">2.2.1 </w:t>
      </w:r>
      <w:r>
        <w:rPr>
          <w:rFonts w:hint="eastAsia" w:ascii="仿宋" w:hAnsi="仿宋" w:eastAsia="仿宋" w:cs="仿宋"/>
          <w:b w:val="0"/>
          <w:bCs/>
          <w:color w:val="auto"/>
          <w:sz w:val="28"/>
          <w:szCs w:val="28"/>
          <w:lang w:eastAsia="zh-CN"/>
        </w:rPr>
        <w:t>海门港区位于台州湾西侧的椒江口处，系河口型海港，形如咽喉。港区呈东西走向，底质大部分为泥沙，水深一般2米～7米。主航道最宽处在港务局码头与前所轮渡码头之间，宽约6.2链；最窄处在牛头颈与小园山之间，宽约4.3链。海门港区是浅水港，港口东部航道（1号灯浮至老鼠曲）水深仅2.2米～3米，故目前150吨船舶可随时进出，150吨～300吨级船舶需候潮进出，5000吨级和浅吃水万吨级货轮经过驳减载后可候潮进出。</w:t>
      </w:r>
      <w:r>
        <w:rPr>
          <w:rFonts w:hint="eastAsia" w:ascii="仿宋" w:hAnsi="仿宋" w:eastAsia="仿宋" w:cs="仿宋"/>
          <w:b w:val="0"/>
          <w:bCs/>
          <w:color w:val="auto"/>
          <w:sz w:val="28"/>
          <w:szCs w:val="28"/>
          <w:lang w:val="en-US" w:eastAsia="zh-CN"/>
        </w:rPr>
        <w:t xml:space="preserve">      </w:t>
      </w:r>
    </w:p>
    <w:p>
      <w:pPr>
        <w:spacing w:line="360" w:lineRule="auto"/>
        <w:ind w:firstLine="560" w:firstLineChars="200"/>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lang w:eastAsia="zh-CN"/>
        </w:rPr>
        <w:t>椒江是灵江、永宁江在三江口汇合而成。椒江航道较直，东西走向，水深2米～10米，在西部有一浅滩，纵卧江中，将港内航道分成南北两条，南支航道通永宁江，水深2米～6米；北支航道通灵江，其东段较浅，最浅仅1米，港内均为泥沙底。灵江作业区位于灵江，至三江口全长22海里，宽200米～1000米，水深0.5米～10米，多江心岛及江心沙滩，主要江心岛滩有庄头沙、沙头、沙渚以及江下渚、拦门浅滩等，航道经常变迁。30吨～50吨商船可沿凹岸一侧航行。临海以东有一大田河，可通航小船。</w:t>
      </w:r>
    </w:p>
    <w:p>
      <w:pPr>
        <w:pStyle w:val="6"/>
        <w:bidi w:val="0"/>
        <w:spacing w:before="0" w:after="0" w:line="360" w:lineRule="auto"/>
        <w:ind w:firstLine="536" w:firstLineChars="200"/>
        <w:jc w:val="both"/>
        <w:rPr>
          <w:rFonts w:hint="default" w:ascii="仿宋" w:hAnsi="仿宋" w:eastAsia="仿宋" w:cs="仿宋"/>
          <w:b w:val="0"/>
          <w:bCs/>
          <w:color w:val="auto"/>
          <w:sz w:val="28"/>
          <w:szCs w:val="28"/>
          <w:lang w:val="en-US" w:eastAsia="zh-CN"/>
        </w:rPr>
      </w:pPr>
      <w:r>
        <w:rPr>
          <w:rFonts w:hint="eastAsia" w:ascii="仿宋" w:hAnsi="仿宋" w:eastAsia="仿宋" w:cs="仿宋"/>
          <w:b w:val="0"/>
          <w:bCs/>
          <w:color w:val="auto"/>
          <w:spacing w:val="-6"/>
          <w:sz w:val="28"/>
          <w:szCs w:val="28"/>
          <w:lang w:val="en-US" w:eastAsia="zh-CN"/>
        </w:rPr>
        <w:t xml:space="preserve">2.2.2 </w:t>
      </w:r>
      <w:r>
        <w:rPr>
          <w:rFonts w:hint="eastAsia" w:ascii="仿宋" w:hAnsi="仿宋" w:eastAsia="仿宋" w:cs="仿宋"/>
          <w:b w:val="0"/>
          <w:bCs/>
          <w:color w:val="auto"/>
          <w:spacing w:val="-6"/>
          <w:sz w:val="28"/>
          <w:szCs w:val="28"/>
          <w:lang w:eastAsia="zh-CN"/>
        </w:rPr>
        <w:t>头门港区位于头门岛，是台州港的核心港区，近期以承接海门港区货运功能转移和服务临港工业发展为主，远期发展为集散功能强、临港工业发达的综合性港区，以集装箱、干散货和液体散货运输为主，是台州市实施沿海战略，发展临港工业的主要依托。</w:t>
      </w:r>
    </w:p>
    <w:p>
      <w:pPr>
        <w:pStyle w:val="7"/>
        <w:spacing w:before="1" w:line="360" w:lineRule="auto"/>
        <w:ind w:right="342" w:firstLine="560" w:firstLineChars="200"/>
        <w:jc w:val="both"/>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 xml:space="preserve">2.2.3 </w:t>
      </w:r>
      <w:r>
        <w:rPr>
          <w:rFonts w:hint="default" w:ascii="仿宋" w:hAnsi="仿宋" w:eastAsia="仿宋" w:cs="仿宋"/>
          <w:color w:val="auto"/>
          <w:sz w:val="28"/>
          <w:szCs w:val="28"/>
          <w:lang w:val="en-US" w:eastAsia="zh-CN"/>
        </w:rPr>
        <w:t>黄岩港区位于永宁江，港区至三江口全长9海里，宽150米～500米，水深1.5米～7米，航道弯曲，除弯曲处突出岸有泥滩外，很少有江心沙滩。30吨小船可沿凹岸一侧航行。</w:t>
      </w:r>
    </w:p>
    <w:p>
      <w:pPr>
        <w:pStyle w:val="7"/>
        <w:spacing w:before="1" w:line="360" w:lineRule="auto"/>
        <w:ind w:right="342" w:firstLine="560" w:firstLineChars="200"/>
        <w:jc w:val="both"/>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 xml:space="preserve">2.2.4 </w:t>
      </w:r>
      <w:r>
        <w:rPr>
          <w:rFonts w:hint="default" w:ascii="仿宋" w:hAnsi="仿宋" w:eastAsia="仿宋" w:cs="仿宋"/>
          <w:color w:val="auto"/>
          <w:sz w:val="28"/>
          <w:szCs w:val="28"/>
          <w:lang w:val="en-US" w:eastAsia="zh-CN"/>
        </w:rPr>
        <w:t>健跳港区位于三门湾西侧的健跳江内，是一个为三门电力城发展服务，以能源运输为主、兼顾件杂货运输的专业性港口。健跳江呈西南至东北走向，江道弯曲狭长，两岸多高山环抱。自江口上溯至风凰山，全长约8海里，海岸线长34千米，宽度约300米～500米，最狭窄处为黄门峡，约170米；江内多为泥沙底，一般水深3.6米～10米，最深处49米吃水3米以下船舶不受潮水限制，可随时进出，万吨级船舶需候潮进出。</w:t>
      </w:r>
    </w:p>
    <w:p>
      <w:pPr>
        <w:pStyle w:val="7"/>
        <w:spacing w:before="1" w:line="360" w:lineRule="auto"/>
        <w:ind w:right="342" w:firstLine="560" w:firstLineChars="200"/>
        <w:jc w:val="both"/>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 xml:space="preserve">2.2.5 </w:t>
      </w:r>
      <w:r>
        <w:rPr>
          <w:rFonts w:hint="default" w:ascii="仿宋" w:hAnsi="仿宋" w:eastAsia="仿宋" w:cs="仿宋"/>
          <w:color w:val="auto"/>
          <w:sz w:val="28"/>
          <w:szCs w:val="28"/>
          <w:lang w:val="en-US" w:eastAsia="zh-CN"/>
        </w:rPr>
        <w:t>温岭港区位于温岭市东部、东南部沿海及乐清湾北部。主要有龙门、永安、石塘、沙山作业区。温岭港区以满足温岭市当地经济发展所需的生产、生活物资运输为主，结合建港自然条件，重点建设中小型件杂货和通用码头泊位。</w:t>
      </w:r>
    </w:p>
    <w:p>
      <w:pPr>
        <w:pStyle w:val="7"/>
        <w:spacing w:before="1" w:line="360" w:lineRule="auto"/>
        <w:ind w:right="342" w:firstLine="560" w:firstLineChars="200"/>
        <w:jc w:val="both"/>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 xml:space="preserve">2.2.6 </w:t>
      </w:r>
      <w:r>
        <w:rPr>
          <w:rFonts w:hint="default" w:ascii="仿宋" w:hAnsi="仿宋" w:eastAsia="仿宋" w:cs="仿宋"/>
          <w:color w:val="auto"/>
          <w:sz w:val="28"/>
          <w:szCs w:val="28"/>
          <w:lang w:val="en-US" w:eastAsia="zh-CN"/>
        </w:rPr>
        <w:t>大麦屿港区位于乐清湾内，西南临温州港，东依玉环岛，航道水深12米以上，港内防风浪性能良好，是宁波至厦门间的天然深水良港，自然条件得天独厚。该港区为新开发港口，目前正在规划建设中，是个以发展能源、石油等大型工业基地建设，以及大宗散货水运中转为主的多功能、综合性深水港口。</w:t>
      </w:r>
    </w:p>
    <w:p>
      <w:pPr>
        <w:spacing w:line="360" w:lineRule="auto"/>
        <w:ind w:firstLine="562" w:firstLineChars="200"/>
        <w:jc w:val="both"/>
        <w:outlineLvl w:val="1"/>
        <w:rPr>
          <w:rFonts w:hint="eastAsia" w:ascii="仿宋" w:hAnsi="仿宋" w:eastAsia="仿宋" w:cs="仿宋"/>
          <w:b/>
          <w:bCs/>
          <w:color w:val="auto"/>
          <w:sz w:val="28"/>
          <w:szCs w:val="28"/>
          <w:lang w:val="en-US" w:eastAsia="zh-CN"/>
        </w:rPr>
      </w:pPr>
      <w:bookmarkStart w:id="15" w:name="_Toc13259"/>
      <w:r>
        <w:rPr>
          <w:rFonts w:hint="eastAsia" w:ascii="仿宋" w:hAnsi="仿宋" w:eastAsia="仿宋" w:cs="仿宋"/>
          <w:b/>
          <w:bCs/>
          <w:color w:val="auto"/>
          <w:sz w:val="28"/>
          <w:szCs w:val="28"/>
          <w:lang w:val="en-US" w:eastAsia="zh-CN"/>
        </w:rPr>
        <w:t>2.3 水文气象</w:t>
      </w:r>
      <w:bookmarkEnd w:id="15"/>
    </w:p>
    <w:p>
      <w:pPr>
        <w:spacing w:line="360" w:lineRule="auto"/>
        <w:ind w:firstLine="560" w:firstLineChars="200"/>
        <w:jc w:val="both"/>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台州地区属亚热带季风气候，深受季风环流的影响，夏无酷暑，冬无严寒，四季分明，冬、夏长，春、秋短，气候温暖湿润，雨量充沛，光照充足。由于各港区所处地理位置及地形不同，水文气象要素略有差异。</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rPr>
          <w:rFonts w:hint="default"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2.3.1</w:t>
      </w:r>
      <w:r>
        <w:rPr>
          <w:rFonts w:hint="default" w:ascii="仿宋" w:hAnsi="仿宋" w:eastAsia="仿宋" w:cs="仿宋"/>
          <w:b/>
          <w:bCs/>
          <w:color w:val="auto"/>
          <w:sz w:val="28"/>
          <w:szCs w:val="28"/>
          <w:lang w:val="en-US" w:eastAsia="zh-CN"/>
        </w:rPr>
        <w:t xml:space="preserve">潮汐 </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default" w:ascii="仿宋" w:hAnsi="仿宋" w:eastAsia="仿宋" w:cs="仿宋"/>
          <w:b w:val="0"/>
          <w:bCs w:val="0"/>
          <w:color w:val="auto"/>
          <w:sz w:val="28"/>
          <w:szCs w:val="28"/>
          <w:lang w:val="en-US" w:eastAsia="zh-CN"/>
        </w:rPr>
      </w:pPr>
      <w:r>
        <w:rPr>
          <w:rFonts w:hint="default" w:ascii="仿宋" w:hAnsi="仿宋" w:eastAsia="仿宋" w:cs="仿宋"/>
          <w:b w:val="0"/>
          <w:bCs w:val="0"/>
          <w:color w:val="auto"/>
          <w:sz w:val="28"/>
          <w:szCs w:val="28"/>
          <w:lang w:val="en-US" w:eastAsia="zh-CN"/>
        </w:rPr>
        <w:t>台州沿海属于我国强潮海域，大多数海域、港湾的潮汐性质为正规半日潮，乐清湾内茅延岛的海山（大岙）、椒江口沙山附近水域则为不正规半日潮。河口、海湾水域受地形影响，潮波变形显著；水深小于潮差时潮波变形剧烈，接近驻波；浅海分潮明显，河口区和海湾区潮差较大，且从湾口到湾顶逐步增加。乐清湾的江厦站最大潮差达8.53米，平均潮差5.17米。</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default" w:ascii="仿宋" w:hAnsi="仿宋" w:eastAsia="仿宋" w:cs="仿宋"/>
          <w:b w:val="0"/>
          <w:bCs w:val="0"/>
          <w:color w:val="auto"/>
          <w:sz w:val="28"/>
          <w:szCs w:val="28"/>
          <w:lang w:val="en-US" w:eastAsia="zh-CN"/>
        </w:rPr>
      </w:pPr>
      <w:r>
        <w:rPr>
          <w:rFonts w:hint="default" w:ascii="仿宋" w:hAnsi="仿宋" w:eastAsia="仿宋" w:cs="仿宋"/>
          <w:b w:val="0"/>
          <w:bCs w:val="0"/>
          <w:color w:val="auto"/>
          <w:sz w:val="28"/>
          <w:szCs w:val="28"/>
          <w:lang w:val="en-US" w:eastAsia="zh-CN"/>
        </w:rPr>
        <w:t>此外，台州港是受风暴潮威胁较严重的海域，台风增水影响明显。危害性风暴潮多发生在台风过境与天文大潮相遇时，引起强降雨和高增水。1997年第11号台风正面袭击台州市，正值农历八月十五天文大潮，高潮位与强暴雨叠加，导致沿海潮位均超过历史最高潮位，椒江海门港区潮位达7.5米，健跳港区潮位达7.45米。</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rPr>
          <w:rFonts w:hint="default"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2.3.2</w:t>
      </w:r>
      <w:r>
        <w:rPr>
          <w:rFonts w:hint="default" w:ascii="仿宋" w:hAnsi="仿宋" w:eastAsia="仿宋" w:cs="仿宋"/>
          <w:b/>
          <w:bCs/>
          <w:color w:val="auto"/>
          <w:sz w:val="28"/>
          <w:szCs w:val="28"/>
          <w:lang w:val="en-US" w:eastAsia="zh-CN"/>
        </w:rPr>
        <w:t xml:space="preserve">潮流 </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default" w:ascii="仿宋" w:hAnsi="仿宋" w:eastAsia="仿宋" w:cs="仿宋"/>
          <w:b w:val="0"/>
          <w:bCs w:val="0"/>
          <w:color w:val="auto"/>
          <w:sz w:val="28"/>
          <w:szCs w:val="28"/>
          <w:lang w:val="en-US" w:eastAsia="zh-CN"/>
        </w:rPr>
      </w:pPr>
      <w:r>
        <w:rPr>
          <w:rFonts w:hint="default" w:ascii="仿宋" w:hAnsi="仿宋" w:eastAsia="仿宋" w:cs="仿宋"/>
          <w:b w:val="0"/>
          <w:bCs w:val="0"/>
          <w:color w:val="auto"/>
          <w:sz w:val="28"/>
          <w:szCs w:val="28"/>
          <w:lang w:val="en-US" w:eastAsia="zh-CN"/>
        </w:rPr>
        <w:t>台州港为强潮海区，潮流动力较强，湾内河口以往复流为主，少数海域有一定的旋转流的特征。椒江口的落潮流历时大于涨潮流历时，涨潮流速大于落潮流速，大潮流速大于小潮流速；牛头颈东方附近，涨潮流为西北流，流速4.1节；落潮流为东流，流速3.6节；其他水域涨潮流流速一般为2节，落潮流的最大流速可达6节；特大洪水时，该港区无涨潮流，落潮流最大流速可达6节；转流时间始于高、低潮后30分钟～40分钟；流时间为5分钟～8分钟。乐清湾（玉环岛大麦屿港区附近）和健跳港区则是淋潮流历时大于落潮流历时，落潮流速大于涨潮流速。</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rPr>
          <w:rFonts w:hint="default"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 xml:space="preserve">2.3.3 </w:t>
      </w:r>
      <w:r>
        <w:rPr>
          <w:rFonts w:hint="default" w:ascii="仿宋" w:hAnsi="仿宋" w:eastAsia="仿宋" w:cs="仿宋"/>
          <w:b/>
          <w:bCs/>
          <w:color w:val="auto"/>
          <w:sz w:val="28"/>
          <w:szCs w:val="28"/>
          <w:lang w:val="en-US" w:eastAsia="zh-CN"/>
        </w:rPr>
        <w:t xml:space="preserve">风 </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default" w:ascii="仿宋" w:hAnsi="仿宋" w:eastAsia="仿宋" w:cs="仿宋"/>
          <w:b w:val="0"/>
          <w:bCs w:val="0"/>
          <w:color w:val="auto"/>
          <w:sz w:val="28"/>
          <w:szCs w:val="28"/>
          <w:lang w:val="en-US" w:eastAsia="zh-CN"/>
        </w:rPr>
      </w:pPr>
      <w:r>
        <w:rPr>
          <w:rFonts w:hint="default" w:ascii="仿宋" w:hAnsi="仿宋" w:eastAsia="仿宋" w:cs="仿宋"/>
          <w:b w:val="0"/>
          <w:bCs w:val="0"/>
          <w:color w:val="auto"/>
          <w:sz w:val="28"/>
          <w:szCs w:val="28"/>
          <w:lang w:val="en-US" w:eastAsia="zh-CN"/>
        </w:rPr>
        <w:t>该海区风向变化明显，盛行风向随季节转换。春季多东风，夏季盛行偏南风，秋季和冬季以偏北风为主。大风多数发生在7月－9月台风季节，少数为冬春冷空气或气旋活动所致。</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rPr>
          <w:rFonts w:hint="default"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 xml:space="preserve">2.3.4 </w:t>
      </w:r>
      <w:r>
        <w:rPr>
          <w:rFonts w:hint="default" w:ascii="仿宋" w:hAnsi="仿宋" w:eastAsia="仿宋" w:cs="仿宋"/>
          <w:b/>
          <w:bCs/>
          <w:color w:val="auto"/>
          <w:sz w:val="28"/>
          <w:szCs w:val="28"/>
          <w:lang w:val="en-US" w:eastAsia="zh-CN"/>
        </w:rPr>
        <w:t xml:space="preserve">热带风暴 </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default" w:ascii="仿宋" w:hAnsi="仿宋" w:eastAsia="仿宋" w:cs="仿宋"/>
          <w:b w:val="0"/>
          <w:bCs w:val="0"/>
          <w:color w:val="auto"/>
          <w:sz w:val="28"/>
          <w:szCs w:val="28"/>
          <w:lang w:val="en-US" w:eastAsia="zh-CN"/>
        </w:rPr>
      </w:pPr>
      <w:r>
        <w:rPr>
          <w:rFonts w:hint="default" w:ascii="仿宋" w:hAnsi="仿宋" w:eastAsia="仿宋" w:cs="仿宋"/>
          <w:b w:val="0"/>
          <w:bCs w:val="0"/>
          <w:color w:val="auto"/>
          <w:sz w:val="28"/>
          <w:szCs w:val="28"/>
          <w:lang w:val="en-US" w:eastAsia="zh-CN"/>
        </w:rPr>
        <w:t>本海区为台风多发区，台风影响主要集中在7月－9月，台风最早出现在5月，最迟11月，影响时间一般为2天～3天，受其影响时多为东北风。据统计，1951年－1997年正面袭击（在象山和温州苍南县之间登陆）的共有25个。2004年第14号台风在温岭石塘登陆，台风中心风速45米／秒，港区风力达12级以上，大陈岛实测风速58.7米／秒，沿海浪高8米～9米，台风最大增水3.5米。</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rPr>
          <w:rFonts w:hint="default" w:ascii="仿宋" w:hAnsi="仿宋" w:eastAsia="仿宋" w:cs="仿宋"/>
          <w:b w:val="0"/>
          <w:bCs w:val="0"/>
          <w:color w:val="auto"/>
          <w:sz w:val="28"/>
          <w:szCs w:val="28"/>
          <w:lang w:val="en-US" w:eastAsia="zh-CN"/>
        </w:rPr>
      </w:pPr>
      <w:r>
        <w:rPr>
          <w:rFonts w:hint="eastAsia" w:ascii="仿宋" w:hAnsi="仿宋" w:eastAsia="仿宋" w:cs="仿宋"/>
          <w:b/>
          <w:bCs/>
          <w:color w:val="auto"/>
          <w:sz w:val="28"/>
          <w:szCs w:val="28"/>
          <w:lang w:val="en-US" w:eastAsia="zh-CN"/>
        </w:rPr>
        <w:t xml:space="preserve">2.3.5 </w:t>
      </w:r>
      <w:r>
        <w:rPr>
          <w:rFonts w:hint="default" w:ascii="仿宋" w:hAnsi="仿宋" w:eastAsia="仿宋" w:cs="仿宋"/>
          <w:b/>
          <w:bCs/>
          <w:color w:val="auto"/>
          <w:sz w:val="28"/>
          <w:szCs w:val="28"/>
          <w:lang w:val="en-US" w:eastAsia="zh-CN"/>
        </w:rPr>
        <w:t>雾</w:t>
      </w:r>
      <w:r>
        <w:rPr>
          <w:rFonts w:hint="default" w:ascii="仿宋" w:hAnsi="仿宋" w:eastAsia="仿宋" w:cs="仿宋"/>
          <w:b w:val="0"/>
          <w:bCs w:val="0"/>
          <w:color w:val="auto"/>
          <w:sz w:val="28"/>
          <w:szCs w:val="28"/>
          <w:lang w:val="en-US" w:eastAsia="zh-CN"/>
        </w:rPr>
        <w:t xml:space="preserve"> </w:t>
      </w:r>
    </w:p>
    <w:p>
      <w:pPr>
        <w:spacing w:line="360" w:lineRule="auto"/>
        <w:ind w:firstLine="560" w:firstLineChars="200"/>
        <w:jc w:val="both"/>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该港处于东海多雾海区，年平均雾目（能见度小于1千米）50天左右，最多年大陈站达88天、玉环站达72天；雾多出现在冷暖气团交错的冬春季节，雾日主要集中在3月－6月，占全年的72％；5月海雾最盛。雾的日变化比较明显，一般多出现于下半夜到日出之前，日出后2小时～3小时内消失。海岛雾日多于内陆。海门港区的雾通</w:t>
      </w:r>
    </w:p>
    <w:p>
      <w:pPr>
        <w:spacing w:line="360" w:lineRule="auto"/>
        <w:jc w:val="both"/>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常出现在午夜至上午10时左右，春夏季一般为平流雾，多出现在南风或东南风天气；秋季一般为辐射雾，多出现在微风晴朗之夜；锋面雾较少，一般出现在寒潮来临前后。</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rPr>
          <w:rFonts w:hint="default"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 xml:space="preserve">2.3.6 </w:t>
      </w:r>
      <w:r>
        <w:rPr>
          <w:rFonts w:hint="default" w:ascii="仿宋" w:hAnsi="仿宋" w:eastAsia="仿宋" w:cs="仿宋"/>
          <w:b/>
          <w:bCs/>
          <w:color w:val="auto"/>
          <w:sz w:val="28"/>
          <w:szCs w:val="28"/>
          <w:lang w:val="en-US" w:eastAsia="zh-CN"/>
        </w:rPr>
        <w:t>能见度</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default" w:ascii="仿宋" w:hAnsi="仿宋" w:eastAsia="仿宋" w:cs="仿宋"/>
          <w:b w:val="0"/>
          <w:bCs w:val="0"/>
          <w:color w:val="auto"/>
          <w:sz w:val="28"/>
          <w:szCs w:val="28"/>
          <w:lang w:val="en-US" w:eastAsia="zh-CN"/>
        </w:rPr>
      </w:pPr>
      <w:r>
        <w:rPr>
          <w:rFonts w:hint="default" w:ascii="仿宋" w:hAnsi="仿宋" w:eastAsia="仿宋" w:cs="仿宋"/>
          <w:b w:val="0"/>
          <w:bCs w:val="0"/>
          <w:color w:val="auto"/>
          <w:sz w:val="28"/>
          <w:szCs w:val="28"/>
          <w:lang w:val="en-US" w:eastAsia="zh-CN"/>
        </w:rPr>
        <w:t>影响能见度的主要因素是雾。能见度小于1千米的日数年平均222天，能见度在1千米～10千米的日数年均28天，10千米以上的日数年平均115天。3月－6月能见度较差，盛夏、秋冬季节能见度较好。</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rPr>
          <w:rFonts w:hint="default"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 xml:space="preserve">2.3.7 </w:t>
      </w:r>
      <w:r>
        <w:rPr>
          <w:rFonts w:hint="default" w:ascii="仿宋" w:hAnsi="仿宋" w:eastAsia="仿宋" w:cs="仿宋"/>
          <w:b/>
          <w:bCs/>
          <w:color w:val="auto"/>
          <w:sz w:val="28"/>
          <w:szCs w:val="28"/>
          <w:lang w:val="en-US" w:eastAsia="zh-CN"/>
        </w:rPr>
        <w:t xml:space="preserve">气温 </w:t>
      </w:r>
    </w:p>
    <w:p>
      <w:pPr>
        <w:keepLines w:val="0"/>
        <w:pageBreakBefore w:val="0"/>
        <w:widowControl/>
        <w:kinsoku/>
        <w:wordWrap/>
        <w:overflowPunct/>
        <w:topLinePunct w:val="0"/>
        <w:autoSpaceDE/>
        <w:autoSpaceDN/>
        <w:bidi w:val="0"/>
        <w:adjustRightInd/>
        <w:snapToGrid/>
        <w:spacing w:before="50" w:after="50" w:line="360" w:lineRule="auto"/>
        <w:ind w:firstLine="560" w:firstLineChars="200"/>
        <w:jc w:val="both"/>
        <w:textAlignment w:val="auto"/>
        <w:rPr>
          <w:rFonts w:hint="default" w:ascii="仿宋" w:hAnsi="仿宋" w:eastAsia="仿宋" w:cs="仿宋"/>
          <w:b w:val="0"/>
          <w:bCs w:val="0"/>
          <w:color w:val="auto"/>
          <w:sz w:val="28"/>
          <w:szCs w:val="28"/>
          <w:lang w:val="en-US" w:eastAsia="zh-CN"/>
        </w:rPr>
      </w:pPr>
      <w:r>
        <w:rPr>
          <w:rFonts w:hint="default" w:ascii="仿宋" w:hAnsi="仿宋" w:eastAsia="仿宋" w:cs="仿宋"/>
          <w:b w:val="0"/>
          <w:bCs w:val="0"/>
          <w:color w:val="auto"/>
          <w:sz w:val="28"/>
          <w:szCs w:val="28"/>
          <w:lang w:val="en-US" w:eastAsia="zh-CN"/>
        </w:rPr>
        <w:t>该港年平均气温17℃，极端最高气温38.8℃，极端最低气温-7.5℃。历年日最高气温大于35℃年平均出现日为10天；历年日最低气温小于0℃年平均出现日，海岛为10天、内陆为20天。</w:t>
      </w:r>
    </w:p>
    <w:p>
      <w:pPr>
        <w:spacing w:line="360" w:lineRule="auto"/>
        <w:ind w:firstLine="562" w:firstLineChars="200"/>
        <w:jc w:val="both"/>
        <w:rPr>
          <w:rFonts w:hint="eastAsia"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 xml:space="preserve">2.3.8 降水 </w:t>
      </w:r>
    </w:p>
    <w:p>
      <w:pPr>
        <w:spacing w:line="360" w:lineRule="auto"/>
        <w:ind w:firstLine="560" w:firstLineChars="200"/>
        <w:jc w:val="both"/>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该港降水主要集中在3月－9月，降水量为全年的75％。5月、6月和9月主要受东南气流控制以及梅雨、台风影响，造成降雨量较大。10月至次年1月降水量较少，仅占全年总量的20％。沿海及岛屿降水量少于内陆。</w:t>
      </w:r>
    </w:p>
    <w:p>
      <w:pPr>
        <w:keepLines w:val="0"/>
        <w:pageBreakBefore w:val="0"/>
        <w:widowControl/>
        <w:kinsoku/>
        <w:wordWrap/>
        <w:overflowPunct/>
        <w:topLinePunct w:val="0"/>
        <w:autoSpaceDE/>
        <w:autoSpaceDN/>
        <w:bidi w:val="0"/>
        <w:adjustRightInd/>
        <w:snapToGrid/>
        <w:spacing w:before="50" w:after="50" w:line="360" w:lineRule="auto"/>
        <w:ind w:firstLine="562" w:firstLineChars="200"/>
        <w:jc w:val="both"/>
        <w:textAlignment w:val="auto"/>
        <w:outlineLvl w:val="1"/>
        <w:rPr>
          <w:rFonts w:hint="eastAsia" w:ascii="仿宋" w:hAnsi="仿宋" w:eastAsia="仿宋" w:cs="仿宋"/>
          <w:b/>
          <w:bCs/>
          <w:color w:val="auto"/>
          <w:sz w:val="28"/>
          <w:szCs w:val="28"/>
          <w:lang w:val="en-US" w:eastAsia="zh-CN"/>
        </w:rPr>
      </w:pPr>
      <w:bookmarkStart w:id="16" w:name="_Toc670"/>
      <w:r>
        <w:rPr>
          <w:rFonts w:hint="eastAsia" w:ascii="仿宋" w:hAnsi="仿宋" w:eastAsia="仿宋" w:cs="仿宋"/>
          <w:b/>
          <w:bCs/>
          <w:color w:val="auto"/>
          <w:sz w:val="28"/>
          <w:szCs w:val="28"/>
          <w:lang w:val="en-US" w:eastAsia="zh-CN"/>
        </w:rPr>
        <w:t>2.4 港口航道</w:t>
      </w:r>
      <w:bookmarkEnd w:id="16"/>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2" w:firstLineChars="200"/>
        <w:jc w:val="both"/>
        <w:rPr>
          <w:rFonts w:hint="eastAsia" w:ascii="仿宋" w:hAnsi="仿宋" w:eastAsia="仿宋" w:cs="仿宋"/>
          <w:i w:val="0"/>
          <w:caps w:val="0"/>
          <w:color w:val="auto"/>
          <w:spacing w:val="0"/>
          <w:sz w:val="28"/>
          <w:szCs w:val="28"/>
        </w:rPr>
      </w:pPr>
      <w:r>
        <w:rPr>
          <w:rFonts w:hint="eastAsia" w:ascii="仿宋" w:hAnsi="仿宋" w:eastAsia="仿宋" w:cs="仿宋"/>
          <w:b/>
          <w:bCs/>
          <w:i w:val="0"/>
          <w:caps w:val="0"/>
          <w:color w:val="auto"/>
          <w:spacing w:val="0"/>
          <w:kern w:val="0"/>
          <w:sz w:val="28"/>
          <w:szCs w:val="28"/>
          <w:lang w:val="en-US" w:eastAsia="zh-CN" w:bidi="ar"/>
        </w:rPr>
        <w:t>2.4.1 海门、黄岩港区航道</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0" w:firstLineChars="200"/>
        <w:jc w:val="both"/>
        <w:rPr>
          <w:rFonts w:hint="eastAsia" w:ascii="仿宋" w:hAnsi="仿宋" w:eastAsia="仿宋" w:cs="仿宋"/>
          <w:i w:val="0"/>
          <w:caps w:val="0"/>
          <w:color w:val="auto"/>
          <w:spacing w:val="0"/>
          <w:kern w:val="0"/>
          <w:sz w:val="28"/>
          <w:szCs w:val="28"/>
          <w:lang w:val="en-US" w:eastAsia="zh-CN" w:bidi="ar"/>
        </w:rPr>
      </w:pPr>
      <w:r>
        <w:rPr>
          <w:rFonts w:hint="eastAsia" w:ascii="仿宋" w:hAnsi="仿宋" w:eastAsia="仿宋" w:cs="仿宋"/>
          <w:i w:val="0"/>
          <w:caps w:val="0"/>
          <w:color w:val="auto"/>
          <w:spacing w:val="0"/>
          <w:kern w:val="0"/>
          <w:sz w:val="28"/>
          <w:szCs w:val="28"/>
          <w:lang w:val="en-US" w:eastAsia="zh-CN" w:bidi="ar"/>
        </w:rPr>
        <w:t>习惯以牛头颈与小园山连线为界，东侧称为椒江口外航道，西侧称为椒江口内航道。</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0" w:firstLineChars="200"/>
        <w:jc w:val="both"/>
        <w:rPr>
          <w:rFonts w:hint="eastAsia" w:ascii="仿宋" w:hAnsi="仿宋" w:eastAsia="仿宋" w:cs="仿宋"/>
          <w:i w:val="0"/>
          <w:caps w:val="0"/>
          <w:color w:val="auto"/>
          <w:spacing w:val="0"/>
          <w:sz w:val="28"/>
          <w:szCs w:val="28"/>
        </w:rPr>
      </w:pPr>
      <w:r>
        <w:rPr>
          <w:rFonts w:hint="eastAsia" w:ascii="仿宋" w:hAnsi="仿宋" w:eastAsia="仿宋" w:cs="仿宋"/>
          <w:i w:val="0"/>
          <w:caps w:val="0"/>
          <w:color w:val="auto"/>
          <w:spacing w:val="0"/>
          <w:kern w:val="0"/>
          <w:sz w:val="28"/>
          <w:szCs w:val="28"/>
          <w:lang w:val="en-US" w:eastAsia="zh-CN" w:bidi="ar"/>
        </w:rPr>
        <w:t>外航道为台州市第一引航检疫锚地至牛头颈，全长约30km，航道宽度500m，其中老鼠屿～白沙的18 km为浅段，航道水深有2m（理论深度基面），3000吨级海轮可乘潮通航，5000吨级和浅吃水万吨级海轮可乘潮通行，但保证率较低。</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0" w:firstLineChars="200"/>
        <w:jc w:val="both"/>
        <w:rPr>
          <w:rFonts w:hint="eastAsia" w:ascii="仿宋" w:hAnsi="仿宋" w:eastAsia="仿宋" w:cs="仿宋"/>
          <w:i w:val="0"/>
          <w:caps w:val="0"/>
          <w:color w:val="auto"/>
          <w:spacing w:val="0"/>
          <w:sz w:val="28"/>
          <w:szCs w:val="28"/>
        </w:rPr>
      </w:pPr>
      <w:r>
        <w:rPr>
          <w:rFonts w:hint="eastAsia" w:ascii="仿宋" w:hAnsi="仿宋" w:eastAsia="仿宋" w:cs="仿宋"/>
          <w:i w:val="0"/>
          <w:caps w:val="0"/>
          <w:color w:val="auto"/>
          <w:spacing w:val="0"/>
          <w:kern w:val="0"/>
          <w:sz w:val="28"/>
          <w:szCs w:val="28"/>
          <w:lang w:val="en-US" w:eastAsia="zh-CN" w:bidi="ar"/>
        </w:rPr>
        <w:t>内航道为牛头颈至三江口，全长12 km左右，河面宽度850～1700m，主航道宽度为200m左右，水深为3.0～3.40m，3000吨级海轮可乘潮通航。由于椒江大桥的通航孔净空高度为22m （设计通航高水位为吴淞基面5.04m），所以通航船舶的高度受其限制。</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0" w:firstLineChars="200"/>
        <w:jc w:val="both"/>
        <w:rPr>
          <w:rFonts w:hint="eastAsia" w:ascii="仿宋" w:hAnsi="仿宋" w:eastAsia="仿宋" w:cs="仿宋"/>
          <w:i w:val="0"/>
          <w:caps w:val="0"/>
          <w:color w:val="auto"/>
          <w:spacing w:val="0"/>
          <w:sz w:val="28"/>
          <w:szCs w:val="28"/>
        </w:rPr>
      </w:pPr>
      <w:r>
        <w:rPr>
          <w:rFonts w:hint="eastAsia" w:ascii="仿宋" w:hAnsi="仿宋" w:eastAsia="仿宋" w:cs="仿宋"/>
          <w:i w:val="0"/>
          <w:caps w:val="0"/>
          <w:color w:val="auto"/>
          <w:spacing w:val="0"/>
          <w:kern w:val="0"/>
          <w:sz w:val="28"/>
          <w:szCs w:val="28"/>
          <w:lang w:val="en-US" w:eastAsia="zh-CN" w:bidi="ar"/>
        </w:rPr>
        <w:t>内航道建有航道整治建筑物长顺坝和丁坝。长顺坝起点位于海门港区7号码头外侧，（X＝28</w:t>
      </w:r>
      <w:r>
        <w:rPr>
          <w:rFonts w:hint="eastAsia" w:ascii="仿宋" w:hAnsi="仿宋" w:eastAsia="仿宋" w:cs="仿宋"/>
          <w:i w:val="0"/>
          <w:caps w:val="0"/>
          <w:color w:val="auto"/>
          <w:spacing w:val="0"/>
          <w:kern w:val="0"/>
          <w:sz w:val="28"/>
          <w:szCs w:val="28"/>
          <w:vertAlign w:val="superscript"/>
          <w:lang w:val="en-US" w:eastAsia="zh-CN" w:bidi="ar"/>
        </w:rPr>
        <w:t>°</w:t>
      </w:r>
      <w:r>
        <w:rPr>
          <w:rFonts w:hint="eastAsia" w:ascii="仿宋" w:hAnsi="仿宋" w:eastAsia="仿宋" w:cs="仿宋"/>
          <w:i w:val="0"/>
          <w:caps w:val="0"/>
          <w:color w:val="auto"/>
          <w:spacing w:val="0"/>
          <w:kern w:val="0"/>
          <w:sz w:val="28"/>
          <w:szCs w:val="28"/>
          <w:lang w:val="en-US" w:eastAsia="zh-CN" w:bidi="ar"/>
        </w:rPr>
        <w:t>41′27.83″,Y＝121</w:t>
      </w:r>
      <w:r>
        <w:rPr>
          <w:rFonts w:hint="eastAsia" w:ascii="仿宋" w:hAnsi="仿宋" w:eastAsia="仿宋" w:cs="仿宋"/>
          <w:i w:val="0"/>
          <w:caps w:val="0"/>
          <w:color w:val="auto"/>
          <w:spacing w:val="0"/>
          <w:kern w:val="0"/>
          <w:sz w:val="28"/>
          <w:szCs w:val="28"/>
          <w:vertAlign w:val="superscript"/>
          <w:lang w:val="en-US" w:eastAsia="zh-CN" w:bidi="ar"/>
        </w:rPr>
        <w:t>°</w:t>
      </w:r>
      <w:r>
        <w:rPr>
          <w:rFonts w:hint="eastAsia" w:ascii="仿宋" w:hAnsi="仿宋" w:eastAsia="仿宋" w:cs="仿宋"/>
          <w:i w:val="0"/>
          <w:caps w:val="0"/>
          <w:color w:val="auto"/>
          <w:spacing w:val="0"/>
          <w:kern w:val="0"/>
          <w:sz w:val="28"/>
          <w:szCs w:val="28"/>
          <w:lang w:val="en-US" w:eastAsia="zh-CN" w:bidi="ar"/>
        </w:rPr>
        <w:t>26′00.08″）,终点位于椒江大桥西侧500m左右（X＝28</w:t>
      </w:r>
      <w:r>
        <w:rPr>
          <w:rFonts w:hint="eastAsia" w:ascii="仿宋" w:hAnsi="仿宋" w:eastAsia="仿宋" w:cs="仿宋"/>
          <w:i w:val="0"/>
          <w:caps w:val="0"/>
          <w:color w:val="auto"/>
          <w:spacing w:val="0"/>
          <w:kern w:val="0"/>
          <w:sz w:val="28"/>
          <w:szCs w:val="28"/>
          <w:vertAlign w:val="superscript"/>
          <w:lang w:val="en-US" w:eastAsia="zh-CN" w:bidi="ar"/>
        </w:rPr>
        <w:t>°</w:t>
      </w:r>
      <w:r>
        <w:rPr>
          <w:rFonts w:hint="eastAsia" w:ascii="仿宋" w:hAnsi="仿宋" w:eastAsia="仿宋" w:cs="仿宋"/>
          <w:i w:val="0"/>
          <w:caps w:val="0"/>
          <w:color w:val="auto"/>
          <w:spacing w:val="0"/>
          <w:kern w:val="0"/>
          <w:sz w:val="28"/>
          <w:szCs w:val="28"/>
          <w:lang w:val="en-US" w:eastAsia="zh-CN" w:bidi="ar"/>
        </w:rPr>
        <w:t>41′48.38″，Y＝121</w:t>
      </w:r>
      <w:r>
        <w:rPr>
          <w:rFonts w:hint="eastAsia" w:ascii="仿宋" w:hAnsi="仿宋" w:eastAsia="仿宋" w:cs="仿宋"/>
          <w:i w:val="0"/>
          <w:caps w:val="0"/>
          <w:color w:val="auto"/>
          <w:spacing w:val="0"/>
          <w:kern w:val="0"/>
          <w:sz w:val="28"/>
          <w:szCs w:val="28"/>
          <w:vertAlign w:val="superscript"/>
          <w:lang w:val="en-US" w:eastAsia="zh-CN" w:bidi="ar"/>
        </w:rPr>
        <w:t>°</w:t>
      </w:r>
      <w:r>
        <w:rPr>
          <w:rFonts w:hint="eastAsia" w:ascii="仿宋" w:hAnsi="仿宋" w:eastAsia="仿宋" w:cs="仿宋"/>
          <w:i w:val="0"/>
          <w:caps w:val="0"/>
          <w:color w:val="auto"/>
          <w:spacing w:val="0"/>
          <w:kern w:val="0"/>
          <w:sz w:val="28"/>
          <w:szCs w:val="28"/>
          <w:lang w:val="en-US" w:eastAsia="zh-CN" w:bidi="ar"/>
        </w:rPr>
        <w:t>23′23.49″），全长4300左右，坝顶宽度2m，顶面高程吴淞2.5米。长顺坝北侧分别建有五道丁坝，一道潜坝。主航道在长顺坝南侧，北侧航道通航100吨级以下小型船舶。</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0" w:firstLineChars="200"/>
        <w:jc w:val="both"/>
        <w:rPr>
          <w:rFonts w:hint="eastAsia" w:ascii="仿宋" w:hAnsi="仿宋" w:eastAsia="仿宋" w:cs="仿宋"/>
          <w:i w:val="0"/>
          <w:caps w:val="0"/>
          <w:color w:val="auto"/>
          <w:spacing w:val="0"/>
          <w:sz w:val="28"/>
          <w:szCs w:val="28"/>
        </w:rPr>
      </w:pPr>
      <w:r>
        <w:rPr>
          <w:rFonts w:hint="eastAsia" w:ascii="仿宋" w:hAnsi="仿宋" w:eastAsia="仿宋" w:cs="仿宋"/>
          <w:i w:val="0"/>
          <w:caps w:val="0"/>
          <w:color w:val="auto"/>
          <w:spacing w:val="0"/>
          <w:kern w:val="0"/>
          <w:sz w:val="28"/>
          <w:szCs w:val="28"/>
          <w:lang w:val="en-US" w:eastAsia="zh-CN" w:bidi="ar"/>
        </w:rPr>
        <w:t>海门港区大陈作业区的航道可由东航路西行至作业区，航道长度约10km，水深20m以上，30万吨级的船舶可乘潮通航。</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2" w:firstLineChars="200"/>
        <w:jc w:val="both"/>
        <w:rPr>
          <w:rFonts w:hint="eastAsia" w:ascii="仿宋" w:hAnsi="仿宋" w:eastAsia="仿宋" w:cs="仿宋"/>
          <w:b/>
          <w:bCs/>
          <w:i w:val="0"/>
          <w:caps w:val="0"/>
          <w:color w:val="auto"/>
          <w:spacing w:val="0"/>
          <w:sz w:val="28"/>
          <w:szCs w:val="28"/>
        </w:rPr>
      </w:pPr>
      <w:r>
        <w:rPr>
          <w:rFonts w:hint="eastAsia" w:ascii="仿宋" w:hAnsi="仿宋" w:eastAsia="仿宋" w:cs="仿宋"/>
          <w:b/>
          <w:bCs/>
          <w:i w:val="0"/>
          <w:caps w:val="0"/>
          <w:color w:val="auto"/>
          <w:spacing w:val="0"/>
          <w:kern w:val="0"/>
          <w:sz w:val="28"/>
          <w:szCs w:val="28"/>
          <w:lang w:val="en-US" w:eastAsia="zh-CN" w:bidi="ar"/>
        </w:rPr>
        <w:t>2.4.2 头门港区航道</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0" w:firstLineChars="200"/>
        <w:jc w:val="both"/>
        <w:rPr>
          <w:rFonts w:hint="eastAsia" w:ascii="仿宋" w:hAnsi="仿宋" w:eastAsia="仿宋" w:cs="仿宋"/>
          <w:i w:val="0"/>
          <w:caps w:val="0"/>
          <w:color w:val="auto"/>
          <w:spacing w:val="0"/>
          <w:sz w:val="28"/>
          <w:szCs w:val="28"/>
        </w:rPr>
      </w:pPr>
      <w:r>
        <w:rPr>
          <w:rFonts w:hint="eastAsia" w:ascii="仿宋" w:hAnsi="仿宋" w:eastAsia="仿宋" w:cs="仿宋"/>
          <w:i w:val="0"/>
          <w:caps w:val="0"/>
          <w:color w:val="auto"/>
          <w:spacing w:val="0"/>
          <w:kern w:val="0"/>
          <w:sz w:val="28"/>
          <w:szCs w:val="28"/>
          <w:lang w:val="en-US" w:eastAsia="zh-CN" w:bidi="ar"/>
        </w:rPr>
        <w:t>灵江作业区航道三江口以下与海门、黄岩港区航道相同；三江口至红光码头长3 km，航道宽度200m左右，水深3.0m，可乘潮通航3000吨级海轮；红光码头至灵江二桥，全长32 km，航道宽度150m左右，水深2.0～3.50m，可乘潮通航1000吨级海轮。</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0" w:firstLineChars="200"/>
        <w:jc w:val="both"/>
        <w:rPr>
          <w:rFonts w:hint="eastAsia" w:ascii="仿宋" w:hAnsi="仿宋" w:eastAsia="仿宋" w:cs="仿宋"/>
          <w:i w:val="0"/>
          <w:caps w:val="0"/>
          <w:color w:val="auto"/>
          <w:spacing w:val="0"/>
          <w:sz w:val="28"/>
          <w:szCs w:val="28"/>
        </w:rPr>
      </w:pPr>
      <w:r>
        <w:rPr>
          <w:rFonts w:hint="eastAsia" w:ascii="仿宋" w:hAnsi="仿宋" w:eastAsia="仿宋" w:cs="仿宋"/>
          <w:i w:val="0"/>
          <w:caps w:val="0"/>
          <w:color w:val="auto"/>
          <w:spacing w:val="0"/>
          <w:kern w:val="0"/>
          <w:sz w:val="28"/>
          <w:szCs w:val="28"/>
          <w:lang w:val="en-US" w:eastAsia="zh-CN" w:bidi="ar"/>
        </w:rPr>
        <w:t>头门作业区进港航道有南北二线，北线航道起于油菜花屿附近的西航路，并向西南延伸，经田岙岛和东矶岛之间水域进入头门作业区，全长约50 km；南线航道起于大茶花岛东侧的东航路，向西延伸至凉帽屿的南侧，然后向西北折向头门作业区，航道全长约25 km。目前，南线和北线进港航道自然水深可满足万吨级船舶乘潮通航。</w:t>
      </w:r>
    </w:p>
    <w:p>
      <w:pPr>
        <w:spacing w:line="360" w:lineRule="auto"/>
        <w:ind w:firstLine="562" w:firstLineChars="200"/>
        <w:jc w:val="both"/>
        <w:rPr>
          <w:rFonts w:hint="eastAsia"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2.4.3 大麦屿港区航道</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进港航道主要有东线和西线，东线航道起于鹿西岛东南侧的西航路，经鹿西岛与南爿山屿至引航检疫锚地附近，然后向西经玉环岛和横趾山之间水域入乐清湾，沿玉环岛西侧水域，向北延伸至普竹作业区附近，长约50 km；港外候潮锚地至鹿西岛草屿灯桩的航道最小水深为10.1m，在乐清湾内鸡蛋山正横处的航道有水深为9.3米的浅滩， 3万吨级船舶可全天候进出港区，5～7万吨级船舶可候潮进出港区，保证率在90％以上。西线航道沿虎头屿、笔架礁经鹿西岛西侧的黄大峡，经横趾山入乐清湾，万吨级船舶可乘潮通航。同时，由温州瓯江口进入大麦屿的中、小型船舶可利用沙头水道直接进入大麦屿港区，3000吨级以下船舶可乘潮通航。</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2" w:firstLineChars="200"/>
        <w:jc w:val="both"/>
        <w:rPr>
          <w:rFonts w:hint="eastAsia" w:ascii="仿宋" w:hAnsi="仿宋" w:eastAsia="仿宋" w:cs="仿宋"/>
          <w:b/>
          <w:bCs/>
          <w:i w:val="0"/>
          <w:caps w:val="0"/>
          <w:color w:val="auto"/>
          <w:spacing w:val="0"/>
          <w:sz w:val="28"/>
          <w:szCs w:val="28"/>
        </w:rPr>
      </w:pPr>
      <w:r>
        <w:rPr>
          <w:rFonts w:hint="eastAsia" w:ascii="仿宋" w:hAnsi="仿宋" w:eastAsia="仿宋" w:cs="仿宋"/>
          <w:b/>
          <w:bCs/>
          <w:i w:val="0"/>
          <w:caps w:val="0"/>
          <w:color w:val="auto"/>
          <w:spacing w:val="0"/>
          <w:kern w:val="0"/>
          <w:sz w:val="28"/>
          <w:szCs w:val="28"/>
          <w:lang w:val="en-US" w:eastAsia="zh-CN" w:bidi="ar"/>
        </w:rPr>
        <w:t>2.4.4 健跳港区航道</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415"/>
        <w:jc w:val="both"/>
        <w:rPr>
          <w:rFonts w:hint="eastAsia" w:ascii="仿宋" w:hAnsi="仿宋" w:eastAsia="仿宋" w:cs="仿宋"/>
          <w:i w:val="0"/>
          <w:caps w:val="0"/>
          <w:color w:val="auto"/>
          <w:spacing w:val="0"/>
          <w:sz w:val="28"/>
          <w:szCs w:val="28"/>
        </w:rPr>
      </w:pPr>
      <w:r>
        <w:rPr>
          <w:rFonts w:hint="eastAsia" w:ascii="仿宋" w:hAnsi="仿宋" w:eastAsia="仿宋" w:cs="仿宋"/>
          <w:i w:val="0"/>
          <w:caps w:val="0"/>
          <w:color w:val="auto"/>
          <w:spacing w:val="0"/>
          <w:kern w:val="0"/>
          <w:sz w:val="28"/>
          <w:szCs w:val="28"/>
          <w:lang w:val="en-US" w:eastAsia="zh-CN" w:bidi="ar"/>
        </w:rPr>
        <w:t>进港航道有南北二条。南线起于东矶岛东侧的东航路，向西北偏北方向延伸至草鞋襟屿的东南侧，然后转向西北偏西向，经大甲山待泊锚地的南侧水域进入健跳江口的狗头门，全长60 km左右。该航道为天然航道，水深在8～10m（理论基面），万吨级船舶可乘潮通航。北线航道起始于油菜花峙附近的西航路，向西南方向延伸至草鞋襟屿东南侧，并与南线相接，全长40 km左右。该航道自然水深在8～10m（理论基面），万吨级船舶可乘潮通航。狗门至健跳江黄门峡，5000吨级船舶可乘潮通航。</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2" w:firstLineChars="200"/>
        <w:jc w:val="both"/>
        <w:rPr>
          <w:rFonts w:hint="eastAsia" w:ascii="仿宋" w:hAnsi="仿宋" w:eastAsia="仿宋" w:cs="仿宋"/>
          <w:b/>
          <w:bCs/>
          <w:i w:val="0"/>
          <w:caps w:val="0"/>
          <w:color w:val="auto"/>
          <w:spacing w:val="0"/>
          <w:sz w:val="28"/>
          <w:szCs w:val="28"/>
        </w:rPr>
      </w:pPr>
      <w:r>
        <w:rPr>
          <w:rFonts w:hint="eastAsia" w:ascii="仿宋" w:hAnsi="仿宋" w:eastAsia="仿宋" w:cs="仿宋"/>
          <w:b/>
          <w:bCs/>
          <w:i w:val="0"/>
          <w:caps w:val="0"/>
          <w:color w:val="auto"/>
          <w:spacing w:val="0"/>
          <w:kern w:val="0"/>
          <w:sz w:val="28"/>
          <w:szCs w:val="28"/>
          <w:lang w:val="en-US" w:eastAsia="zh-CN" w:bidi="ar"/>
        </w:rPr>
        <w:t>2.4.5 温岭港区航道</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0" w:firstLineChars="200"/>
        <w:jc w:val="both"/>
        <w:rPr>
          <w:rFonts w:hint="eastAsia" w:ascii="仿宋" w:hAnsi="仿宋" w:eastAsia="仿宋" w:cs="仿宋"/>
          <w:i w:val="0"/>
          <w:caps w:val="0"/>
          <w:color w:val="auto"/>
          <w:spacing w:val="0"/>
          <w:sz w:val="28"/>
          <w:szCs w:val="28"/>
        </w:rPr>
      </w:pPr>
      <w:r>
        <w:rPr>
          <w:rFonts w:hint="eastAsia" w:ascii="仿宋" w:hAnsi="仿宋" w:eastAsia="仿宋" w:cs="仿宋"/>
          <w:i w:val="0"/>
          <w:caps w:val="0"/>
          <w:color w:val="auto"/>
          <w:spacing w:val="0"/>
          <w:kern w:val="0"/>
          <w:sz w:val="28"/>
          <w:szCs w:val="28"/>
          <w:lang w:val="en-US" w:eastAsia="zh-CN" w:bidi="ar"/>
        </w:rPr>
        <w:t>龙门作业区现均为天然航道，2000吨级船舶可乘潮通航。</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0" w:firstLineChars="200"/>
        <w:jc w:val="both"/>
        <w:rPr>
          <w:rFonts w:hint="eastAsia" w:ascii="仿宋" w:hAnsi="仿宋" w:eastAsia="仿宋" w:cs="仿宋"/>
          <w:i w:val="0"/>
          <w:caps w:val="0"/>
          <w:color w:val="auto"/>
          <w:spacing w:val="0"/>
          <w:sz w:val="28"/>
          <w:szCs w:val="28"/>
        </w:rPr>
      </w:pPr>
      <w:r>
        <w:rPr>
          <w:rFonts w:hint="eastAsia" w:ascii="仿宋" w:hAnsi="仿宋" w:eastAsia="仿宋" w:cs="仿宋"/>
          <w:i w:val="0"/>
          <w:caps w:val="0"/>
          <w:color w:val="auto"/>
          <w:spacing w:val="0"/>
          <w:kern w:val="0"/>
          <w:sz w:val="28"/>
          <w:szCs w:val="28"/>
          <w:lang w:val="en-US" w:eastAsia="zh-CN" w:bidi="ar"/>
        </w:rPr>
        <w:t>石塘作业区均为天然航道，5000吨级船舶可乘潮通航。</w:t>
      </w:r>
    </w:p>
    <w:p>
      <w:pPr>
        <w:spacing w:line="360" w:lineRule="auto"/>
        <w:ind w:firstLine="560" w:firstLineChars="200"/>
        <w:jc w:val="both"/>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永安作业区在金清新港内，海轮需通过金清新闸进入金清新港，型宽少于10米的1000吨内船舶可通航。</w:t>
      </w:r>
    </w:p>
    <w:p>
      <w:pPr>
        <w:spacing w:line="360" w:lineRule="auto"/>
        <w:ind w:firstLine="560" w:firstLineChars="200"/>
        <w:jc w:val="both"/>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沙山作业区位于乐清湾底部，船舶在经大麦屿港区后逆流而上，沿线经江岩岛、大担岛与小担岛之间、鹰婆岛东侧、大青山西侧、横仔岛与柜屿之间水域进入沙山作业区。</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2" w:firstLineChars="200"/>
        <w:jc w:val="both"/>
        <w:outlineLvl w:val="1"/>
        <w:rPr>
          <w:rFonts w:hint="eastAsia" w:ascii="仿宋" w:hAnsi="仿宋" w:eastAsia="仿宋" w:cs="仿宋"/>
          <w:b/>
          <w:bCs/>
          <w:i w:val="0"/>
          <w:caps w:val="0"/>
          <w:color w:val="auto"/>
          <w:spacing w:val="0"/>
          <w:kern w:val="0"/>
          <w:sz w:val="28"/>
          <w:szCs w:val="28"/>
          <w:lang w:val="en-US" w:eastAsia="zh-CN" w:bidi="ar"/>
        </w:rPr>
      </w:pPr>
      <w:bookmarkStart w:id="17" w:name="_Toc148"/>
      <w:r>
        <w:rPr>
          <w:rFonts w:hint="eastAsia" w:ascii="仿宋" w:hAnsi="仿宋" w:eastAsia="仿宋" w:cs="仿宋"/>
          <w:b/>
          <w:bCs/>
          <w:i w:val="0"/>
          <w:caps w:val="0"/>
          <w:color w:val="auto"/>
          <w:spacing w:val="0"/>
          <w:kern w:val="0"/>
          <w:sz w:val="28"/>
          <w:szCs w:val="28"/>
          <w:lang w:val="en-US" w:eastAsia="zh-CN" w:bidi="ar"/>
        </w:rPr>
        <w:t>2.5 港口锚地</w:t>
      </w:r>
      <w:bookmarkEnd w:id="17"/>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firstLine="560" w:firstLineChars="200"/>
        <w:jc w:val="both"/>
        <w:rPr>
          <w:rFonts w:hint="eastAsia" w:ascii="仿宋" w:hAnsi="仿宋" w:eastAsia="仿宋" w:cs="仿宋"/>
          <w:i w:val="0"/>
          <w:caps w:val="0"/>
          <w:color w:val="auto"/>
          <w:spacing w:val="0"/>
          <w:sz w:val="28"/>
          <w:szCs w:val="28"/>
        </w:rPr>
      </w:pPr>
      <w:r>
        <w:rPr>
          <w:rFonts w:hint="eastAsia" w:ascii="仿宋" w:hAnsi="仿宋" w:eastAsia="仿宋" w:cs="仿宋"/>
          <w:i w:val="0"/>
          <w:caps w:val="0"/>
          <w:color w:val="auto"/>
          <w:spacing w:val="0"/>
          <w:kern w:val="0"/>
          <w:sz w:val="28"/>
          <w:szCs w:val="28"/>
          <w:lang w:val="en-US" w:eastAsia="zh-CN" w:bidi="ar"/>
        </w:rPr>
        <w:t>台州港现有各类锚地20块，具体详见锚地一览表2-1：</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firstLine="0"/>
        <w:jc w:val="center"/>
        <w:rPr>
          <w:rFonts w:hint="eastAsia" w:ascii="仿宋" w:hAnsi="仿宋" w:eastAsia="仿宋" w:cs="仿宋"/>
          <w:i w:val="0"/>
          <w:caps w:val="0"/>
          <w:color w:val="auto"/>
          <w:spacing w:val="0"/>
          <w:sz w:val="28"/>
          <w:szCs w:val="28"/>
        </w:rPr>
      </w:pPr>
      <w:r>
        <w:rPr>
          <w:rStyle w:val="15"/>
          <w:rFonts w:hint="eastAsia" w:ascii="仿宋" w:hAnsi="仿宋" w:eastAsia="仿宋" w:cs="仿宋"/>
          <w:i w:val="0"/>
          <w:caps w:val="0"/>
          <w:color w:val="auto"/>
          <w:spacing w:val="68"/>
          <w:kern w:val="0"/>
          <w:sz w:val="28"/>
          <w:szCs w:val="28"/>
          <w:lang w:val="en-US" w:eastAsia="zh-CN" w:bidi="ar"/>
        </w:rPr>
        <w:t>2-1台州港锚地一览表</w:t>
      </w:r>
    </w:p>
    <w:tbl>
      <w:tblPr>
        <w:tblStyle w:val="13"/>
        <w:tblW w:w="8951" w:type="dxa"/>
        <w:tblInd w:w="0" w:type="dxa"/>
        <w:shd w:val="clear" w:color="auto" w:fill="auto"/>
        <w:tblLayout w:type="fixed"/>
        <w:tblCellMar>
          <w:top w:w="0" w:type="dxa"/>
          <w:left w:w="0" w:type="dxa"/>
          <w:bottom w:w="0" w:type="dxa"/>
          <w:right w:w="0" w:type="dxa"/>
        </w:tblCellMar>
      </w:tblPr>
      <w:tblGrid>
        <w:gridCol w:w="533"/>
        <w:gridCol w:w="1035"/>
        <w:gridCol w:w="3816"/>
        <w:gridCol w:w="912"/>
        <w:gridCol w:w="915"/>
        <w:gridCol w:w="750"/>
        <w:gridCol w:w="990"/>
      </w:tblGrid>
      <w:tr>
        <w:tblPrEx>
          <w:shd w:val="clear" w:color="auto" w:fill="auto"/>
          <w:tblCellMar>
            <w:top w:w="0" w:type="dxa"/>
            <w:left w:w="0" w:type="dxa"/>
            <w:bottom w:w="0" w:type="dxa"/>
            <w:right w:w="0" w:type="dxa"/>
          </w:tblCellMar>
        </w:tblPrEx>
        <w:trPr>
          <w:trHeight w:val="420" w:hRule="atLeast"/>
        </w:trPr>
        <w:tc>
          <w:tcPr>
            <w:tcW w:w="533" w:type="dxa"/>
            <w:vMerge w:val="restart"/>
            <w:tcBorders>
              <w:top w:val="single" w:color="auto" w:sz="12" w:space="0"/>
              <w:left w:val="single" w:color="auto" w:sz="12"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b/>
                <w:bCs/>
                <w:color w:val="auto"/>
                <w:sz w:val="24"/>
                <w:szCs w:val="24"/>
              </w:rPr>
            </w:pPr>
            <w:r>
              <w:rPr>
                <w:rFonts w:hint="eastAsia" w:ascii="仿宋" w:hAnsi="仿宋" w:eastAsia="仿宋" w:cs="仿宋"/>
                <w:b/>
                <w:bCs/>
                <w:i w:val="0"/>
                <w:caps w:val="0"/>
                <w:color w:val="auto"/>
                <w:spacing w:val="0"/>
                <w:kern w:val="0"/>
                <w:sz w:val="24"/>
                <w:szCs w:val="24"/>
                <w:u w:val="none"/>
                <w:lang w:val="en-US" w:eastAsia="zh-CN" w:bidi="ar"/>
              </w:rPr>
              <w:t>港区</w:t>
            </w:r>
          </w:p>
        </w:tc>
        <w:tc>
          <w:tcPr>
            <w:tcW w:w="1035" w:type="dxa"/>
            <w:vMerge w:val="restart"/>
            <w:tcBorders>
              <w:top w:val="single" w:color="auto" w:sz="12"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b/>
                <w:bCs/>
                <w:i w:val="0"/>
                <w:caps w:val="0"/>
                <w:color w:val="auto"/>
                <w:spacing w:val="0"/>
                <w:kern w:val="0"/>
                <w:sz w:val="24"/>
                <w:szCs w:val="24"/>
                <w:u w:val="none"/>
                <w:lang w:val="en-US" w:eastAsia="zh-CN" w:bidi="ar"/>
              </w:rPr>
            </w:pPr>
            <w:r>
              <w:rPr>
                <w:rFonts w:hint="eastAsia" w:ascii="仿宋" w:hAnsi="仿宋" w:eastAsia="仿宋" w:cs="仿宋"/>
                <w:b/>
                <w:bCs/>
                <w:i w:val="0"/>
                <w:caps w:val="0"/>
                <w:color w:val="auto"/>
                <w:spacing w:val="0"/>
                <w:kern w:val="0"/>
                <w:sz w:val="24"/>
                <w:szCs w:val="24"/>
                <w:u w:val="none"/>
                <w:lang w:val="en-US" w:eastAsia="zh-CN" w:bidi="ar"/>
              </w:rPr>
              <w:t>锚地</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b/>
                <w:bCs/>
                <w:color w:val="auto"/>
                <w:sz w:val="24"/>
                <w:szCs w:val="24"/>
              </w:rPr>
            </w:pPr>
            <w:r>
              <w:rPr>
                <w:rFonts w:hint="eastAsia" w:ascii="仿宋" w:hAnsi="仿宋" w:eastAsia="仿宋" w:cs="仿宋"/>
                <w:b/>
                <w:bCs/>
                <w:i w:val="0"/>
                <w:caps w:val="0"/>
                <w:color w:val="auto"/>
                <w:spacing w:val="0"/>
                <w:kern w:val="0"/>
                <w:sz w:val="24"/>
                <w:szCs w:val="24"/>
                <w:u w:val="none"/>
                <w:lang w:val="en-US" w:eastAsia="zh-CN" w:bidi="ar"/>
              </w:rPr>
              <w:t>名称</w:t>
            </w:r>
          </w:p>
        </w:tc>
        <w:tc>
          <w:tcPr>
            <w:tcW w:w="3816" w:type="dxa"/>
            <w:vMerge w:val="restart"/>
            <w:tcBorders>
              <w:top w:val="single" w:color="auto" w:sz="12"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b/>
                <w:bCs/>
                <w:color w:val="auto"/>
                <w:sz w:val="24"/>
                <w:szCs w:val="24"/>
              </w:rPr>
            </w:pPr>
            <w:r>
              <w:rPr>
                <w:rFonts w:hint="eastAsia" w:ascii="仿宋" w:hAnsi="仿宋" w:eastAsia="仿宋" w:cs="仿宋"/>
                <w:b/>
                <w:bCs/>
                <w:i w:val="0"/>
                <w:caps w:val="0"/>
                <w:color w:val="auto"/>
                <w:spacing w:val="0"/>
                <w:kern w:val="0"/>
                <w:sz w:val="24"/>
                <w:szCs w:val="24"/>
                <w:u w:val="none"/>
                <w:lang w:val="en-US" w:eastAsia="zh-CN" w:bidi="ar"/>
              </w:rPr>
              <w:t>水域范围</w:t>
            </w:r>
          </w:p>
        </w:tc>
        <w:tc>
          <w:tcPr>
            <w:tcW w:w="2577" w:type="dxa"/>
            <w:gridSpan w:val="3"/>
            <w:tcBorders>
              <w:top w:val="single" w:color="auto" w:sz="12"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b/>
                <w:bCs/>
                <w:color w:val="auto"/>
                <w:sz w:val="24"/>
                <w:szCs w:val="24"/>
              </w:rPr>
            </w:pPr>
            <w:r>
              <w:rPr>
                <w:rFonts w:hint="eastAsia" w:ascii="仿宋" w:hAnsi="仿宋" w:eastAsia="仿宋" w:cs="仿宋"/>
                <w:b/>
                <w:bCs/>
                <w:i w:val="0"/>
                <w:caps w:val="0"/>
                <w:color w:val="auto"/>
                <w:spacing w:val="0"/>
                <w:kern w:val="0"/>
                <w:sz w:val="24"/>
                <w:szCs w:val="24"/>
                <w:u w:val="none"/>
                <w:lang w:val="en-US" w:eastAsia="zh-CN" w:bidi="ar"/>
              </w:rPr>
              <w:t>锚地状况</w:t>
            </w:r>
          </w:p>
        </w:tc>
        <w:tc>
          <w:tcPr>
            <w:tcW w:w="990" w:type="dxa"/>
            <w:vMerge w:val="restart"/>
            <w:tcBorders>
              <w:top w:val="single" w:color="auto" w:sz="12" w:space="0"/>
              <w:left w:val="single" w:color="auto" w:sz="4" w:space="0"/>
              <w:bottom w:val="single" w:color="auto" w:sz="4" w:space="0"/>
              <w:right w:val="single" w:color="auto" w:sz="12"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b/>
                <w:bCs/>
                <w:color w:val="auto"/>
                <w:sz w:val="24"/>
                <w:szCs w:val="24"/>
              </w:rPr>
            </w:pPr>
            <w:r>
              <w:rPr>
                <w:rFonts w:hint="eastAsia" w:ascii="仿宋" w:hAnsi="仿宋" w:eastAsia="仿宋" w:cs="仿宋"/>
                <w:b/>
                <w:bCs/>
                <w:i w:val="0"/>
                <w:caps w:val="0"/>
                <w:color w:val="auto"/>
                <w:spacing w:val="0"/>
                <w:kern w:val="0"/>
                <w:sz w:val="24"/>
                <w:szCs w:val="24"/>
                <w:u w:val="none"/>
                <w:lang w:val="en-US" w:eastAsia="zh-CN" w:bidi="ar"/>
              </w:rPr>
              <w:t>用途</w:t>
            </w:r>
          </w:p>
        </w:tc>
      </w:tr>
      <w:tr>
        <w:tblPrEx>
          <w:tblCellMar>
            <w:top w:w="0" w:type="dxa"/>
            <w:left w:w="0" w:type="dxa"/>
            <w:bottom w:w="0" w:type="dxa"/>
            <w:right w:w="0" w:type="dxa"/>
          </w:tblCellMar>
        </w:tblPrEx>
        <w:trPr>
          <w:trHeight w:val="268" w:hRule="atLeast"/>
        </w:trPr>
        <w:tc>
          <w:tcPr>
            <w:tcW w:w="533" w:type="dxa"/>
            <w:vMerge w:val="continue"/>
            <w:tcBorders>
              <w:top w:val="single" w:color="auto" w:sz="4" w:space="0"/>
              <w:left w:val="single" w:color="auto" w:sz="12" w:space="0"/>
              <w:bottom w:val="single" w:color="auto" w:sz="4" w:space="0"/>
              <w:right w:val="single" w:color="auto" w:sz="4" w:space="0"/>
            </w:tcBorders>
            <w:shd w:val="clear" w:color="auto" w:fill="auto"/>
            <w:tcMar>
              <w:left w:w="108" w:type="dxa"/>
              <w:right w:w="108" w:type="dxa"/>
            </w:tcMar>
            <w:vAlign w:val="center"/>
          </w:tcPr>
          <w:p>
            <w:pPr>
              <w:jc w:val="center"/>
              <w:rPr>
                <w:rFonts w:hint="eastAsia" w:ascii="仿宋" w:hAnsi="仿宋" w:eastAsia="仿宋" w:cs="仿宋"/>
                <w:i w:val="0"/>
                <w:caps w:val="0"/>
                <w:color w:val="auto"/>
                <w:spacing w:val="0"/>
                <w:sz w:val="24"/>
                <w:szCs w:val="24"/>
                <w:u w:val="none"/>
              </w:rPr>
            </w:pPr>
          </w:p>
        </w:tc>
        <w:tc>
          <w:tcPr>
            <w:tcW w:w="1035" w:type="dxa"/>
            <w:vMerge w:val="continue"/>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jc w:val="center"/>
              <w:rPr>
                <w:rFonts w:hint="eastAsia" w:ascii="仿宋" w:hAnsi="仿宋" w:eastAsia="仿宋" w:cs="仿宋"/>
                <w:i w:val="0"/>
                <w:caps w:val="0"/>
                <w:color w:val="auto"/>
                <w:spacing w:val="0"/>
                <w:sz w:val="24"/>
                <w:szCs w:val="24"/>
                <w:u w:val="none"/>
              </w:rPr>
            </w:pPr>
          </w:p>
        </w:tc>
        <w:tc>
          <w:tcPr>
            <w:tcW w:w="3816" w:type="dxa"/>
            <w:vMerge w:val="continue"/>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jc w:val="center"/>
              <w:rPr>
                <w:rFonts w:hint="eastAsia" w:ascii="仿宋" w:hAnsi="仿宋" w:eastAsia="仿宋" w:cs="仿宋"/>
                <w:i w:val="0"/>
                <w:caps w:val="0"/>
                <w:color w:val="auto"/>
                <w:spacing w:val="0"/>
                <w:sz w:val="24"/>
                <w:szCs w:val="24"/>
                <w:u w:val="none"/>
              </w:rPr>
            </w:pPr>
          </w:p>
        </w:tc>
        <w:tc>
          <w:tcPr>
            <w:tcW w:w="912"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b/>
                <w:bCs/>
                <w:color w:val="auto"/>
                <w:sz w:val="24"/>
                <w:szCs w:val="24"/>
              </w:rPr>
            </w:pPr>
            <w:r>
              <w:rPr>
                <w:rFonts w:hint="eastAsia" w:ascii="仿宋" w:hAnsi="仿宋" w:eastAsia="仿宋" w:cs="仿宋"/>
                <w:b/>
                <w:bCs/>
                <w:i w:val="0"/>
                <w:caps w:val="0"/>
                <w:color w:val="auto"/>
                <w:spacing w:val="0"/>
                <w:kern w:val="0"/>
                <w:sz w:val="24"/>
                <w:szCs w:val="24"/>
                <w:u w:val="none"/>
                <w:lang w:val="en-US" w:eastAsia="zh-CN" w:bidi="ar"/>
              </w:rPr>
              <w:t>面积</w:t>
            </w:r>
          </w:p>
        </w:tc>
        <w:tc>
          <w:tcPr>
            <w:tcW w:w="91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b/>
                <w:bCs/>
                <w:color w:val="auto"/>
                <w:sz w:val="24"/>
                <w:szCs w:val="24"/>
              </w:rPr>
            </w:pPr>
            <w:r>
              <w:rPr>
                <w:rFonts w:hint="eastAsia" w:ascii="仿宋" w:hAnsi="仿宋" w:eastAsia="仿宋" w:cs="仿宋"/>
                <w:b/>
                <w:bCs/>
                <w:i w:val="0"/>
                <w:caps w:val="0"/>
                <w:color w:val="auto"/>
                <w:spacing w:val="0"/>
                <w:kern w:val="0"/>
                <w:sz w:val="24"/>
                <w:szCs w:val="24"/>
                <w:u w:val="none"/>
                <w:lang w:val="en-US" w:eastAsia="zh-CN" w:bidi="ar"/>
              </w:rPr>
              <w:t>水深</w:t>
            </w:r>
          </w:p>
        </w:tc>
        <w:tc>
          <w:tcPr>
            <w:tcW w:w="750"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b/>
                <w:bCs/>
                <w:color w:val="auto"/>
                <w:sz w:val="24"/>
                <w:szCs w:val="24"/>
              </w:rPr>
            </w:pPr>
            <w:r>
              <w:rPr>
                <w:rFonts w:hint="eastAsia" w:ascii="仿宋" w:hAnsi="仿宋" w:eastAsia="仿宋" w:cs="仿宋"/>
                <w:b/>
                <w:bCs/>
                <w:i w:val="0"/>
                <w:caps w:val="0"/>
                <w:color w:val="auto"/>
                <w:spacing w:val="0"/>
                <w:kern w:val="0"/>
                <w:sz w:val="24"/>
                <w:szCs w:val="24"/>
                <w:u w:val="none"/>
                <w:lang w:val="en-US" w:eastAsia="zh-CN" w:bidi="ar"/>
              </w:rPr>
              <w:t>底质</w:t>
            </w:r>
          </w:p>
        </w:tc>
        <w:tc>
          <w:tcPr>
            <w:tcW w:w="990" w:type="dxa"/>
            <w:vMerge w:val="continue"/>
            <w:tcBorders>
              <w:top w:val="single" w:color="auto" w:sz="4" w:space="0"/>
              <w:left w:val="single" w:color="auto" w:sz="4" w:space="0"/>
              <w:bottom w:val="single" w:color="auto" w:sz="4" w:space="0"/>
              <w:right w:val="single" w:color="auto" w:sz="12" w:space="0"/>
            </w:tcBorders>
            <w:shd w:val="clear" w:color="auto" w:fill="auto"/>
            <w:tcMar>
              <w:left w:w="108" w:type="dxa"/>
              <w:right w:w="108" w:type="dxa"/>
            </w:tcMar>
            <w:vAlign w:val="center"/>
          </w:tcPr>
          <w:p>
            <w:pPr>
              <w:jc w:val="center"/>
              <w:rPr>
                <w:rFonts w:hint="eastAsia" w:ascii="仿宋" w:hAnsi="仿宋" w:eastAsia="仿宋" w:cs="仿宋"/>
                <w:i w:val="0"/>
                <w:caps w:val="0"/>
                <w:color w:val="auto"/>
                <w:spacing w:val="0"/>
                <w:sz w:val="24"/>
                <w:szCs w:val="24"/>
                <w:u w:val="none"/>
              </w:rPr>
            </w:pPr>
          </w:p>
        </w:tc>
      </w:tr>
      <w:tr>
        <w:tblPrEx>
          <w:tblCellMar>
            <w:top w:w="0" w:type="dxa"/>
            <w:left w:w="0" w:type="dxa"/>
            <w:bottom w:w="0" w:type="dxa"/>
            <w:right w:w="0" w:type="dxa"/>
          </w:tblCellMar>
        </w:tblPrEx>
        <w:tc>
          <w:tcPr>
            <w:tcW w:w="533" w:type="dxa"/>
            <w:vMerge w:val="restart"/>
            <w:tcBorders>
              <w:top w:val="single" w:color="auto" w:sz="4" w:space="0"/>
              <w:left w:val="single" w:color="auto" w:sz="12"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海</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门</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黄</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岩</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头门</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港</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区</w:t>
            </w:r>
          </w:p>
        </w:tc>
        <w:tc>
          <w:tcPr>
            <w:tcW w:w="103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台州第一引航</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检疫锚地</w:t>
            </w:r>
          </w:p>
        </w:tc>
        <w:tc>
          <w:tcPr>
            <w:tcW w:w="3816"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top"/>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28°40′12″N/121°45′18″E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28°39′12″N/121°45′18″E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28°39′12″N/121°47′18″E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28°40′12″N/121°47′18″E</w:t>
            </w:r>
          </w:p>
        </w:tc>
        <w:tc>
          <w:tcPr>
            <w:tcW w:w="912"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6.0km</w:t>
            </w:r>
            <w:r>
              <w:rPr>
                <w:rFonts w:hint="eastAsia" w:ascii="仿宋" w:hAnsi="仿宋" w:eastAsia="仿宋" w:cs="仿宋"/>
                <w:i w:val="0"/>
                <w:caps w:val="0"/>
                <w:color w:val="auto"/>
                <w:spacing w:val="0"/>
                <w:kern w:val="0"/>
                <w:sz w:val="24"/>
                <w:szCs w:val="24"/>
                <w:u w:val="none"/>
                <w:vertAlign w:val="superscript"/>
                <w:lang w:val="en-US" w:eastAsia="zh-CN" w:bidi="ar"/>
              </w:rPr>
              <w:t>2</w:t>
            </w:r>
          </w:p>
        </w:tc>
        <w:tc>
          <w:tcPr>
            <w:tcW w:w="91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8m</w:t>
            </w:r>
          </w:p>
        </w:tc>
        <w:tc>
          <w:tcPr>
            <w:tcW w:w="750"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泥</w:t>
            </w:r>
          </w:p>
        </w:tc>
        <w:tc>
          <w:tcPr>
            <w:tcW w:w="990" w:type="dxa"/>
            <w:tcBorders>
              <w:top w:val="single" w:color="auto" w:sz="4" w:space="0"/>
              <w:left w:val="single" w:color="auto" w:sz="4" w:space="0"/>
              <w:bottom w:val="single" w:color="auto" w:sz="4" w:space="0"/>
              <w:right w:val="single" w:color="auto" w:sz="12"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引航</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检疫</w:t>
            </w:r>
          </w:p>
        </w:tc>
      </w:tr>
      <w:tr>
        <w:tblPrEx>
          <w:tblCellMar>
            <w:top w:w="0" w:type="dxa"/>
            <w:left w:w="0" w:type="dxa"/>
            <w:bottom w:w="0" w:type="dxa"/>
            <w:right w:w="0" w:type="dxa"/>
          </w:tblCellMar>
        </w:tblPrEx>
        <w:tc>
          <w:tcPr>
            <w:tcW w:w="533" w:type="dxa"/>
            <w:vMerge w:val="continue"/>
            <w:tcBorders>
              <w:top w:val="single" w:color="auto" w:sz="4" w:space="0"/>
              <w:left w:val="single" w:color="auto" w:sz="12" w:space="0"/>
              <w:bottom w:val="single" w:color="auto" w:sz="4" w:space="0"/>
              <w:right w:val="single" w:color="auto" w:sz="4" w:space="0"/>
            </w:tcBorders>
            <w:shd w:val="clear" w:color="auto" w:fill="auto"/>
            <w:tcMar>
              <w:left w:w="108" w:type="dxa"/>
              <w:right w:w="108" w:type="dxa"/>
            </w:tcMar>
            <w:vAlign w:val="center"/>
          </w:tcPr>
          <w:p>
            <w:pPr>
              <w:jc w:val="center"/>
              <w:rPr>
                <w:rFonts w:hint="eastAsia" w:ascii="仿宋" w:hAnsi="仿宋" w:eastAsia="仿宋" w:cs="仿宋"/>
                <w:i w:val="0"/>
                <w:caps w:val="0"/>
                <w:color w:val="auto"/>
                <w:spacing w:val="0"/>
                <w:sz w:val="24"/>
                <w:szCs w:val="24"/>
                <w:u w:val="none"/>
              </w:rPr>
            </w:pPr>
          </w:p>
        </w:tc>
        <w:tc>
          <w:tcPr>
            <w:tcW w:w="103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台州第二引航检疫锚地</w:t>
            </w:r>
          </w:p>
        </w:tc>
        <w:tc>
          <w:tcPr>
            <w:tcW w:w="3816"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top"/>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28°27′19″N/121°51′57″E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28°26′59″N/121°52′20″E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28°27′27″N/121°52′56″E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i w:val="0"/>
                <w:caps w:val="0"/>
                <w:color w:val="auto"/>
                <w:spacing w:val="0"/>
                <w:kern w:val="0"/>
                <w:sz w:val="24"/>
                <w:szCs w:val="24"/>
                <w:u w:val="none"/>
                <w:lang w:val="en-US" w:eastAsia="zh-CN" w:bidi="ar"/>
              </w:rPr>
            </w:pPr>
            <w:r>
              <w:rPr>
                <w:rFonts w:hint="eastAsia" w:ascii="仿宋" w:hAnsi="仿宋" w:eastAsia="仿宋" w:cs="仿宋"/>
                <w:i w:val="0"/>
                <w:caps w:val="0"/>
                <w:color w:val="auto"/>
                <w:spacing w:val="0"/>
                <w:kern w:val="0"/>
                <w:sz w:val="24"/>
                <w:szCs w:val="24"/>
                <w:u w:val="none"/>
                <w:lang w:val="en-US" w:eastAsia="zh-CN" w:bidi="ar"/>
              </w:rPr>
              <w:t>28°27′48″N/121°52′37″E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i w:val="0"/>
                <w:caps w:val="0"/>
                <w:color w:val="auto"/>
                <w:spacing w:val="0"/>
                <w:kern w:val="0"/>
                <w:sz w:val="24"/>
                <w:szCs w:val="24"/>
                <w:u w:val="none"/>
                <w:lang w:val="en-US" w:eastAsia="zh-CN" w:bidi="ar"/>
              </w:rPr>
            </w:pPr>
          </w:p>
        </w:tc>
        <w:tc>
          <w:tcPr>
            <w:tcW w:w="912"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1.2km</w:t>
            </w:r>
            <w:r>
              <w:rPr>
                <w:rFonts w:hint="eastAsia" w:ascii="仿宋" w:hAnsi="仿宋" w:eastAsia="仿宋" w:cs="仿宋"/>
                <w:i w:val="0"/>
                <w:caps w:val="0"/>
                <w:color w:val="auto"/>
                <w:spacing w:val="0"/>
                <w:kern w:val="0"/>
                <w:sz w:val="24"/>
                <w:szCs w:val="24"/>
                <w:u w:val="none"/>
                <w:vertAlign w:val="superscript"/>
                <w:lang w:val="en-US" w:eastAsia="zh-CN" w:bidi="ar"/>
              </w:rPr>
              <w:t>2</w:t>
            </w:r>
          </w:p>
        </w:tc>
        <w:tc>
          <w:tcPr>
            <w:tcW w:w="91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10.5～19m</w:t>
            </w:r>
          </w:p>
        </w:tc>
        <w:tc>
          <w:tcPr>
            <w:tcW w:w="750"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泥</w:t>
            </w:r>
          </w:p>
        </w:tc>
        <w:tc>
          <w:tcPr>
            <w:tcW w:w="990" w:type="dxa"/>
            <w:tcBorders>
              <w:top w:val="single" w:color="auto" w:sz="4" w:space="0"/>
              <w:left w:val="single" w:color="auto" w:sz="4" w:space="0"/>
              <w:bottom w:val="single" w:color="auto" w:sz="4" w:space="0"/>
              <w:right w:val="single" w:color="auto" w:sz="12"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引航</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检疫</w:t>
            </w:r>
          </w:p>
        </w:tc>
      </w:tr>
      <w:tr>
        <w:tblPrEx>
          <w:tblCellMar>
            <w:top w:w="0" w:type="dxa"/>
            <w:left w:w="0" w:type="dxa"/>
            <w:bottom w:w="0" w:type="dxa"/>
            <w:right w:w="0" w:type="dxa"/>
          </w:tblCellMar>
        </w:tblPrEx>
        <w:tc>
          <w:tcPr>
            <w:tcW w:w="533" w:type="dxa"/>
            <w:vMerge w:val="continue"/>
            <w:tcBorders>
              <w:top w:val="single" w:color="auto" w:sz="4" w:space="0"/>
              <w:left w:val="single" w:color="auto" w:sz="12" w:space="0"/>
              <w:bottom w:val="single" w:color="auto" w:sz="4" w:space="0"/>
              <w:right w:val="single" w:color="auto" w:sz="4" w:space="0"/>
            </w:tcBorders>
            <w:shd w:val="clear" w:color="auto" w:fill="auto"/>
            <w:tcMar>
              <w:left w:w="108" w:type="dxa"/>
              <w:right w:w="108" w:type="dxa"/>
            </w:tcMar>
            <w:vAlign w:val="center"/>
          </w:tcPr>
          <w:p>
            <w:pPr>
              <w:jc w:val="center"/>
              <w:rPr>
                <w:rFonts w:hint="eastAsia" w:ascii="仿宋" w:hAnsi="仿宋" w:eastAsia="仿宋" w:cs="仿宋"/>
                <w:i w:val="0"/>
                <w:caps w:val="0"/>
                <w:color w:val="auto"/>
                <w:spacing w:val="0"/>
                <w:sz w:val="24"/>
                <w:szCs w:val="24"/>
                <w:u w:val="none"/>
              </w:rPr>
            </w:pPr>
          </w:p>
        </w:tc>
        <w:tc>
          <w:tcPr>
            <w:tcW w:w="103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头门山以北驳载锚地</w:t>
            </w:r>
          </w:p>
        </w:tc>
        <w:tc>
          <w:tcPr>
            <w:tcW w:w="3816"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top"/>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以28°43′18″N/121°47′42″E为圆心,以0.5</w:t>
            </w:r>
            <w:r>
              <w:rPr>
                <w:rFonts w:hint="eastAsia" w:ascii="仿宋" w:hAnsi="仿宋" w:eastAsia="仿宋" w:cs="仿宋"/>
                <w:i w:val="0"/>
                <w:caps w:val="0"/>
                <w:color w:val="auto"/>
                <w:spacing w:val="-40"/>
                <w:kern w:val="0"/>
                <w:sz w:val="24"/>
                <w:szCs w:val="24"/>
                <w:u w:val="none"/>
                <w:lang w:val="en-US" w:eastAsia="zh-CN" w:bidi="ar"/>
              </w:rPr>
              <w:t>氵里 </w:t>
            </w:r>
            <w:r>
              <w:rPr>
                <w:rFonts w:hint="eastAsia" w:ascii="仿宋" w:hAnsi="仿宋" w:eastAsia="仿宋" w:cs="仿宋"/>
                <w:i w:val="0"/>
                <w:caps w:val="0"/>
                <w:color w:val="auto"/>
                <w:spacing w:val="0"/>
                <w:kern w:val="0"/>
                <w:sz w:val="24"/>
                <w:szCs w:val="24"/>
                <w:u w:val="none"/>
                <w:lang w:val="en-US" w:eastAsia="zh-CN" w:bidi="ar"/>
              </w:rPr>
              <w:t>为半径的水域范围。</w:t>
            </w:r>
          </w:p>
        </w:tc>
        <w:tc>
          <w:tcPr>
            <w:tcW w:w="912"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2.7km</w:t>
            </w:r>
            <w:r>
              <w:rPr>
                <w:rFonts w:hint="eastAsia" w:ascii="仿宋" w:hAnsi="仿宋" w:eastAsia="仿宋" w:cs="仿宋"/>
                <w:i w:val="0"/>
                <w:caps w:val="0"/>
                <w:color w:val="auto"/>
                <w:spacing w:val="0"/>
                <w:kern w:val="0"/>
                <w:sz w:val="24"/>
                <w:szCs w:val="24"/>
                <w:u w:val="none"/>
                <w:vertAlign w:val="superscript"/>
                <w:lang w:val="en-US" w:eastAsia="zh-CN" w:bidi="ar"/>
              </w:rPr>
              <w:t>2</w:t>
            </w:r>
          </w:p>
        </w:tc>
        <w:tc>
          <w:tcPr>
            <w:tcW w:w="91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10m</w:t>
            </w:r>
          </w:p>
        </w:tc>
        <w:tc>
          <w:tcPr>
            <w:tcW w:w="750"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泥</w:t>
            </w:r>
          </w:p>
        </w:tc>
        <w:tc>
          <w:tcPr>
            <w:tcW w:w="990" w:type="dxa"/>
            <w:tcBorders>
              <w:top w:val="single" w:color="auto" w:sz="4" w:space="0"/>
              <w:left w:val="single" w:color="auto" w:sz="4" w:space="0"/>
              <w:bottom w:val="single" w:color="auto" w:sz="4" w:space="0"/>
              <w:right w:val="single" w:color="auto" w:sz="12"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过驳</w:t>
            </w:r>
          </w:p>
        </w:tc>
      </w:tr>
      <w:tr>
        <w:tblPrEx>
          <w:tblCellMar>
            <w:top w:w="0" w:type="dxa"/>
            <w:left w:w="0" w:type="dxa"/>
            <w:bottom w:w="0" w:type="dxa"/>
            <w:right w:w="0" w:type="dxa"/>
          </w:tblCellMar>
        </w:tblPrEx>
        <w:tc>
          <w:tcPr>
            <w:tcW w:w="533" w:type="dxa"/>
            <w:vMerge w:val="continue"/>
            <w:tcBorders>
              <w:top w:val="single" w:color="auto" w:sz="4" w:space="0"/>
              <w:left w:val="single" w:color="auto" w:sz="12" w:space="0"/>
              <w:bottom w:val="single" w:color="auto" w:sz="4" w:space="0"/>
              <w:right w:val="single" w:color="auto" w:sz="4" w:space="0"/>
            </w:tcBorders>
            <w:shd w:val="clear" w:color="auto" w:fill="auto"/>
            <w:tcMar>
              <w:left w:w="108" w:type="dxa"/>
              <w:right w:w="108" w:type="dxa"/>
            </w:tcMar>
            <w:vAlign w:val="center"/>
          </w:tcPr>
          <w:p>
            <w:pPr>
              <w:jc w:val="center"/>
              <w:rPr>
                <w:rFonts w:hint="eastAsia" w:ascii="仿宋" w:hAnsi="仿宋" w:eastAsia="仿宋" w:cs="仿宋"/>
                <w:i w:val="0"/>
                <w:caps w:val="0"/>
                <w:color w:val="auto"/>
                <w:spacing w:val="0"/>
                <w:sz w:val="24"/>
                <w:szCs w:val="24"/>
                <w:u w:val="none"/>
              </w:rPr>
            </w:pPr>
          </w:p>
        </w:tc>
        <w:tc>
          <w:tcPr>
            <w:tcW w:w="103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点灯临时驳载锚地</w:t>
            </w:r>
          </w:p>
        </w:tc>
        <w:tc>
          <w:tcPr>
            <w:tcW w:w="3816"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top"/>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28°41′06″N/121°44′18″E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28°41′06″N/121°45′42″E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28°40′18″N/121°45′42″E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28°40′18″N/121°44′18″E</w:t>
            </w:r>
          </w:p>
        </w:tc>
        <w:tc>
          <w:tcPr>
            <w:tcW w:w="912"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2.8km</w:t>
            </w:r>
            <w:r>
              <w:rPr>
                <w:rFonts w:hint="eastAsia" w:ascii="仿宋" w:hAnsi="仿宋" w:eastAsia="仿宋" w:cs="仿宋"/>
                <w:i w:val="0"/>
                <w:caps w:val="0"/>
                <w:color w:val="auto"/>
                <w:spacing w:val="0"/>
                <w:kern w:val="0"/>
                <w:sz w:val="24"/>
                <w:szCs w:val="24"/>
                <w:u w:val="none"/>
                <w:vertAlign w:val="superscript"/>
                <w:lang w:val="en-US" w:eastAsia="zh-CN" w:bidi="ar"/>
              </w:rPr>
              <w:t>2</w:t>
            </w:r>
          </w:p>
        </w:tc>
        <w:tc>
          <w:tcPr>
            <w:tcW w:w="91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5～8m</w:t>
            </w:r>
          </w:p>
        </w:tc>
        <w:tc>
          <w:tcPr>
            <w:tcW w:w="750"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泥</w:t>
            </w:r>
          </w:p>
        </w:tc>
        <w:tc>
          <w:tcPr>
            <w:tcW w:w="990" w:type="dxa"/>
            <w:tcBorders>
              <w:top w:val="single" w:color="auto" w:sz="4" w:space="0"/>
              <w:left w:val="single" w:color="auto" w:sz="4" w:space="0"/>
              <w:bottom w:val="single" w:color="auto" w:sz="4" w:space="0"/>
              <w:right w:val="single" w:color="auto" w:sz="12"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过驳</w:t>
            </w:r>
          </w:p>
        </w:tc>
      </w:tr>
      <w:tr>
        <w:tblPrEx>
          <w:tblCellMar>
            <w:top w:w="0" w:type="dxa"/>
            <w:left w:w="0" w:type="dxa"/>
            <w:bottom w:w="0" w:type="dxa"/>
            <w:right w:w="0" w:type="dxa"/>
          </w:tblCellMar>
        </w:tblPrEx>
        <w:tc>
          <w:tcPr>
            <w:tcW w:w="533" w:type="dxa"/>
            <w:vMerge w:val="continue"/>
            <w:tcBorders>
              <w:top w:val="single" w:color="auto" w:sz="4" w:space="0"/>
              <w:left w:val="single" w:color="auto" w:sz="12" w:space="0"/>
              <w:bottom w:val="single" w:color="auto" w:sz="4" w:space="0"/>
              <w:right w:val="single" w:color="auto" w:sz="4" w:space="0"/>
            </w:tcBorders>
            <w:shd w:val="clear" w:color="auto" w:fill="auto"/>
            <w:tcMar>
              <w:left w:w="108" w:type="dxa"/>
              <w:right w:w="108" w:type="dxa"/>
            </w:tcMar>
            <w:vAlign w:val="center"/>
          </w:tcPr>
          <w:p>
            <w:pPr>
              <w:jc w:val="center"/>
              <w:rPr>
                <w:rFonts w:hint="eastAsia" w:ascii="仿宋" w:hAnsi="仿宋" w:eastAsia="仿宋" w:cs="仿宋"/>
                <w:i w:val="0"/>
                <w:caps w:val="0"/>
                <w:color w:val="auto"/>
                <w:spacing w:val="0"/>
                <w:sz w:val="24"/>
                <w:szCs w:val="24"/>
                <w:u w:val="none"/>
              </w:rPr>
            </w:pPr>
          </w:p>
        </w:tc>
        <w:tc>
          <w:tcPr>
            <w:tcW w:w="103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危险品锚地</w:t>
            </w:r>
          </w:p>
        </w:tc>
        <w:tc>
          <w:tcPr>
            <w:tcW w:w="3816"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top"/>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28°38′12″N/121°44′12″E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28°38′12″N/121°46′00″E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28°39′00″N/121°46′00″E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28°39′00″N/121°44′12″E</w:t>
            </w:r>
          </w:p>
        </w:tc>
        <w:tc>
          <w:tcPr>
            <w:tcW w:w="912"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4.2km</w:t>
            </w:r>
            <w:r>
              <w:rPr>
                <w:rFonts w:hint="eastAsia" w:ascii="仿宋" w:hAnsi="仿宋" w:eastAsia="仿宋" w:cs="仿宋"/>
                <w:i w:val="0"/>
                <w:caps w:val="0"/>
                <w:color w:val="auto"/>
                <w:spacing w:val="0"/>
                <w:kern w:val="0"/>
                <w:sz w:val="24"/>
                <w:szCs w:val="24"/>
                <w:u w:val="none"/>
                <w:vertAlign w:val="superscript"/>
                <w:lang w:val="en-US" w:eastAsia="zh-CN" w:bidi="ar"/>
              </w:rPr>
              <w:t>2</w:t>
            </w:r>
          </w:p>
        </w:tc>
        <w:tc>
          <w:tcPr>
            <w:tcW w:w="91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5～7m</w:t>
            </w:r>
          </w:p>
        </w:tc>
        <w:tc>
          <w:tcPr>
            <w:tcW w:w="750"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泥</w:t>
            </w:r>
          </w:p>
        </w:tc>
        <w:tc>
          <w:tcPr>
            <w:tcW w:w="990" w:type="dxa"/>
            <w:tcBorders>
              <w:top w:val="single" w:color="auto" w:sz="4" w:space="0"/>
              <w:left w:val="single" w:color="auto" w:sz="4" w:space="0"/>
              <w:bottom w:val="single" w:color="auto" w:sz="4" w:space="0"/>
              <w:right w:val="single" w:color="auto" w:sz="12"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危险品</w:t>
            </w:r>
          </w:p>
        </w:tc>
      </w:tr>
      <w:tr>
        <w:tblPrEx>
          <w:tblCellMar>
            <w:top w:w="0" w:type="dxa"/>
            <w:left w:w="0" w:type="dxa"/>
            <w:bottom w:w="0" w:type="dxa"/>
            <w:right w:w="0" w:type="dxa"/>
          </w:tblCellMar>
        </w:tblPrEx>
        <w:tc>
          <w:tcPr>
            <w:tcW w:w="533" w:type="dxa"/>
            <w:vMerge w:val="continue"/>
            <w:tcBorders>
              <w:top w:val="single" w:color="auto" w:sz="4" w:space="0"/>
              <w:left w:val="single" w:color="auto" w:sz="12" w:space="0"/>
              <w:bottom w:val="single" w:color="auto" w:sz="4" w:space="0"/>
              <w:right w:val="single" w:color="auto" w:sz="4" w:space="0"/>
            </w:tcBorders>
            <w:shd w:val="clear" w:color="auto" w:fill="auto"/>
            <w:tcMar>
              <w:left w:w="108" w:type="dxa"/>
              <w:right w:w="108" w:type="dxa"/>
            </w:tcMar>
            <w:vAlign w:val="center"/>
          </w:tcPr>
          <w:p>
            <w:pPr>
              <w:jc w:val="center"/>
              <w:rPr>
                <w:rFonts w:hint="eastAsia" w:ascii="仿宋" w:hAnsi="仿宋" w:eastAsia="仿宋" w:cs="仿宋"/>
                <w:i w:val="0"/>
                <w:caps w:val="0"/>
                <w:color w:val="auto"/>
                <w:spacing w:val="0"/>
                <w:sz w:val="24"/>
                <w:szCs w:val="24"/>
                <w:u w:val="none"/>
              </w:rPr>
            </w:pPr>
          </w:p>
        </w:tc>
        <w:tc>
          <w:tcPr>
            <w:tcW w:w="103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海门港区大型机动船锚地</w:t>
            </w:r>
          </w:p>
        </w:tc>
        <w:tc>
          <w:tcPr>
            <w:tcW w:w="3816"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top"/>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28°41′35″N/121°26′57″E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28°41′21″N/121°27′27″E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28°41′27.5″N/121°26′57″E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28°41′29″N/121°27′27″E</w:t>
            </w:r>
          </w:p>
        </w:tc>
        <w:tc>
          <w:tcPr>
            <w:tcW w:w="912"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0.2km</w:t>
            </w:r>
            <w:r>
              <w:rPr>
                <w:rFonts w:hint="eastAsia" w:ascii="仿宋" w:hAnsi="仿宋" w:eastAsia="仿宋" w:cs="仿宋"/>
                <w:i w:val="0"/>
                <w:caps w:val="0"/>
                <w:color w:val="auto"/>
                <w:spacing w:val="0"/>
                <w:kern w:val="0"/>
                <w:sz w:val="24"/>
                <w:szCs w:val="24"/>
                <w:u w:val="none"/>
                <w:vertAlign w:val="superscript"/>
                <w:lang w:val="en-US" w:eastAsia="zh-CN" w:bidi="ar"/>
              </w:rPr>
              <w:t>2</w:t>
            </w:r>
          </w:p>
        </w:tc>
        <w:tc>
          <w:tcPr>
            <w:tcW w:w="91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7m</w:t>
            </w:r>
          </w:p>
        </w:tc>
        <w:tc>
          <w:tcPr>
            <w:tcW w:w="750"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泥</w:t>
            </w:r>
          </w:p>
        </w:tc>
        <w:tc>
          <w:tcPr>
            <w:tcW w:w="990" w:type="dxa"/>
            <w:tcBorders>
              <w:top w:val="single" w:color="auto" w:sz="4" w:space="0"/>
              <w:left w:val="single" w:color="auto" w:sz="4" w:space="0"/>
              <w:bottom w:val="single" w:color="auto" w:sz="4" w:space="0"/>
              <w:right w:val="single" w:color="auto" w:sz="12"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待泊</w:t>
            </w:r>
          </w:p>
        </w:tc>
      </w:tr>
      <w:tr>
        <w:tblPrEx>
          <w:tblCellMar>
            <w:top w:w="0" w:type="dxa"/>
            <w:left w:w="0" w:type="dxa"/>
            <w:bottom w:w="0" w:type="dxa"/>
            <w:right w:w="0" w:type="dxa"/>
          </w:tblCellMar>
        </w:tblPrEx>
        <w:tc>
          <w:tcPr>
            <w:tcW w:w="533" w:type="dxa"/>
            <w:vMerge w:val="continue"/>
            <w:tcBorders>
              <w:top w:val="single" w:color="auto" w:sz="4" w:space="0"/>
              <w:left w:val="single" w:color="auto" w:sz="12" w:space="0"/>
              <w:bottom w:val="single" w:color="auto" w:sz="4" w:space="0"/>
              <w:right w:val="single" w:color="auto" w:sz="4" w:space="0"/>
            </w:tcBorders>
            <w:shd w:val="clear" w:color="auto" w:fill="auto"/>
            <w:tcMar>
              <w:left w:w="108" w:type="dxa"/>
              <w:right w:w="108" w:type="dxa"/>
            </w:tcMar>
            <w:vAlign w:val="center"/>
          </w:tcPr>
          <w:p>
            <w:pPr>
              <w:jc w:val="center"/>
              <w:rPr>
                <w:rFonts w:hint="eastAsia" w:ascii="仿宋" w:hAnsi="仿宋" w:eastAsia="仿宋" w:cs="仿宋"/>
                <w:i w:val="0"/>
                <w:caps w:val="0"/>
                <w:color w:val="auto"/>
                <w:spacing w:val="0"/>
                <w:sz w:val="24"/>
                <w:szCs w:val="24"/>
                <w:u w:val="none"/>
              </w:rPr>
            </w:pPr>
          </w:p>
        </w:tc>
        <w:tc>
          <w:tcPr>
            <w:tcW w:w="103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海门港区</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机动船锚地</w:t>
            </w:r>
          </w:p>
        </w:tc>
        <w:tc>
          <w:tcPr>
            <w:tcW w:w="3816"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top"/>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28°41′46″N/121°26′28″E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28°41′41″N/121°26′42″E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28°41′35″N/121°26′57″E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28°41′27.5″N/121°26′57″E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28°41′27″N/121°26′42″E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28°41′28″N/121°26′15″E</w:t>
            </w:r>
          </w:p>
        </w:tc>
        <w:tc>
          <w:tcPr>
            <w:tcW w:w="912"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0.28km</w:t>
            </w:r>
          </w:p>
        </w:tc>
        <w:tc>
          <w:tcPr>
            <w:tcW w:w="91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4.5～7</w:t>
            </w:r>
          </w:p>
        </w:tc>
        <w:tc>
          <w:tcPr>
            <w:tcW w:w="750"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泥沙</w:t>
            </w:r>
          </w:p>
        </w:tc>
        <w:tc>
          <w:tcPr>
            <w:tcW w:w="990" w:type="dxa"/>
            <w:tcBorders>
              <w:top w:val="single" w:color="auto" w:sz="4" w:space="0"/>
              <w:left w:val="single" w:color="auto" w:sz="4" w:space="0"/>
              <w:bottom w:val="single" w:color="auto" w:sz="4" w:space="0"/>
              <w:right w:val="single" w:color="auto" w:sz="12"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待泊</w:t>
            </w:r>
          </w:p>
        </w:tc>
      </w:tr>
      <w:tr>
        <w:tblPrEx>
          <w:tblCellMar>
            <w:top w:w="0" w:type="dxa"/>
            <w:left w:w="0" w:type="dxa"/>
            <w:bottom w:w="0" w:type="dxa"/>
            <w:right w:w="0" w:type="dxa"/>
          </w:tblCellMar>
        </w:tblPrEx>
        <w:trPr>
          <w:trHeight w:val="1666" w:hRule="atLeast"/>
        </w:trPr>
        <w:tc>
          <w:tcPr>
            <w:tcW w:w="533" w:type="dxa"/>
            <w:vMerge w:val="restart"/>
            <w:tcBorders>
              <w:top w:val="single" w:color="auto" w:sz="4" w:space="0"/>
              <w:left w:val="single" w:color="auto" w:sz="12"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海</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门</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黄</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岩</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头门</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港</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区</w:t>
            </w:r>
          </w:p>
        </w:tc>
        <w:tc>
          <w:tcPr>
            <w:tcW w:w="103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海门港区小型</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机动船锚地</w:t>
            </w:r>
          </w:p>
        </w:tc>
        <w:tc>
          <w:tcPr>
            <w:tcW w:w="3816"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top"/>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28°41′33″N/121°26′06″E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28°41′44″N/121°25′24″E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28°41′53″N/121°26′06″E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28°42′01″N/121°25′24″E</w:t>
            </w:r>
          </w:p>
        </w:tc>
        <w:tc>
          <w:tcPr>
            <w:tcW w:w="912"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0.6km</w:t>
            </w:r>
            <w:r>
              <w:rPr>
                <w:rFonts w:hint="eastAsia" w:ascii="仿宋" w:hAnsi="仿宋" w:eastAsia="仿宋" w:cs="仿宋"/>
                <w:i w:val="0"/>
                <w:caps w:val="0"/>
                <w:color w:val="auto"/>
                <w:spacing w:val="0"/>
                <w:kern w:val="0"/>
                <w:sz w:val="24"/>
                <w:szCs w:val="24"/>
                <w:u w:val="none"/>
                <w:vertAlign w:val="superscript"/>
                <w:lang w:val="en-US" w:eastAsia="zh-CN" w:bidi="ar"/>
              </w:rPr>
              <w:t>2</w:t>
            </w:r>
          </w:p>
        </w:tc>
        <w:tc>
          <w:tcPr>
            <w:tcW w:w="91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1.8～3m</w:t>
            </w:r>
          </w:p>
        </w:tc>
        <w:tc>
          <w:tcPr>
            <w:tcW w:w="750"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泥</w:t>
            </w:r>
          </w:p>
        </w:tc>
        <w:tc>
          <w:tcPr>
            <w:tcW w:w="990" w:type="dxa"/>
            <w:tcBorders>
              <w:top w:val="single" w:color="auto" w:sz="4" w:space="0"/>
              <w:left w:val="single" w:color="auto" w:sz="4" w:space="0"/>
              <w:bottom w:val="single" w:color="auto" w:sz="4" w:space="0"/>
              <w:right w:val="single" w:color="auto" w:sz="12"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待泊</w:t>
            </w:r>
          </w:p>
        </w:tc>
      </w:tr>
      <w:tr>
        <w:tblPrEx>
          <w:tblCellMar>
            <w:top w:w="0" w:type="dxa"/>
            <w:left w:w="0" w:type="dxa"/>
            <w:bottom w:w="0" w:type="dxa"/>
            <w:right w:w="0" w:type="dxa"/>
          </w:tblCellMar>
        </w:tblPrEx>
        <w:tc>
          <w:tcPr>
            <w:tcW w:w="533" w:type="dxa"/>
            <w:vMerge w:val="continue"/>
            <w:tcBorders>
              <w:top w:val="single" w:color="auto" w:sz="4" w:space="0"/>
              <w:left w:val="single" w:color="auto" w:sz="12" w:space="0"/>
              <w:bottom w:val="single" w:color="auto" w:sz="4" w:space="0"/>
              <w:right w:val="single" w:color="auto" w:sz="4" w:space="0"/>
            </w:tcBorders>
            <w:shd w:val="clear" w:color="auto" w:fill="auto"/>
            <w:tcMar>
              <w:left w:w="108" w:type="dxa"/>
              <w:right w:w="108" w:type="dxa"/>
            </w:tcMar>
            <w:vAlign w:val="center"/>
          </w:tcPr>
          <w:p>
            <w:pPr>
              <w:jc w:val="center"/>
              <w:rPr>
                <w:rFonts w:hint="eastAsia" w:ascii="仿宋" w:hAnsi="仿宋" w:eastAsia="仿宋" w:cs="仿宋"/>
                <w:i w:val="0"/>
                <w:caps w:val="0"/>
                <w:color w:val="auto"/>
                <w:spacing w:val="0"/>
                <w:sz w:val="24"/>
                <w:szCs w:val="24"/>
                <w:u w:val="none"/>
              </w:rPr>
            </w:pPr>
          </w:p>
        </w:tc>
        <w:tc>
          <w:tcPr>
            <w:tcW w:w="103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大陈1号锚地</w:t>
            </w:r>
          </w:p>
        </w:tc>
        <w:tc>
          <w:tcPr>
            <w:tcW w:w="3816"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top"/>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28°27′59″N/121°52′26″E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28°28′14″N/121°52′14″E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28°27′38″N/121°51′53″E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28°27′51″N/121°51′40″E</w:t>
            </w:r>
          </w:p>
        </w:tc>
        <w:tc>
          <w:tcPr>
            <w:tcW w:w="912"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0.55km</w:t>
            </w:r>
            <w:r>
              <w:rPr>
                <w:rFonts w:hint="eastAsia" w:ascii="仿宋" w:hAnsi="仿宋" w:eastAsia="仿宋" w:cs="仿宋"/>
                <w:i w:val="0"/>
                <w:caps w:val="0"/>
                <w:color w:val="auto"/>
                <w:spacing w:val="0"/>
                <w:kern w:val="0"/>
                <w:sz w:val="24"/>
                <w:szCs w:val="24"/>
                <w:u w:val="none"/>
                <w:vertAlign w:val="superscript"/>
                <w:lang w:val="en-US" w:eastAsia="zh-CN" w:bidi="ar"/>
              </w:rPr>
              <w:t>2</w:t>
            </w:r>
          </w:p>
        </w:tc>
        <w:tc>
          <w:tcPr>
            <w:tcW w:w="91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5～10m</w:t>
            </w:r>
          </w:p>
        </w:tc>
        <w:tc>
          <w:tcPr>
            <w:tcW w:w="750"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泥</w:t>
            </w:r>
          </w:p>
        </w:tc>
        <w:tc>
          <w:tcPr>
            <w:tcW w:w="990" w:type="dxa"/>
            <w:tcBorders>
              <w:top w:val="single" w:color="auto" w:sz="4" w:space="0"/>
              <w:left w:val="single" w:color="auto" w:sz="4" w:space="0"/>
              <w:bottom w:val="single" w:color="auto" w:sz="4" w:space="0"/>
              <w:right w:val="single" w:color="auto" w:sz="12"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避风、待泊</w:t>
            </w:r>
          </w:p>
        </w:tc>
      </w:tr>
      <w:tr>
        <w:tblPrEx>
          <w:tblCellMar>
            <w:top w:w="0" w:type="dxa"/>
            <w:left w:w="0" w:type="dxa"/>
            <w:bottom w:w="0" w:type="dxa"/>
            <w:right w:w="0" w:type="dxa"/>
          </w:tblCellMar>
        </w:tblPrEx>
        <w:tc>
          <w:tcPr>
            <w:tcW w:w="533" w:type="dxa"/>
            <w:vMerge w:val="continue"/>
            <w:tcBorders>
              <w:top w:val="single" w:color="auto" w:sz="4" w:space="0"/>
              <w:left w:val="single" w:color="auto" w:sz="12" w:space="0"/>
              <w:bottom w:val="single" w:color="auto" w:sz="4" w:space="0"/>
              <w:right w:val="single" w:color="auto" w:sz="4" w:space="0"/>
            </w:tcBorders>
            <w:shd w:val="clear" w:color="auto" w:fill="auto"/>
            <w:tcMar>
              <w:left w:w="108" w:type="dxa"/>
              <w:right w:w="108" w:type="dxa"/>
            </w:tcMar>
            <w:vAlign w:val="center"/>
          </w:tcPr>
          <w:p>
            <w:pPr>
              <w:jc w:val="center"/>
              <w:rPr>
                <w:rFonts w:hint="eastAsia" w:ascii="仿宋" w:hAnsi="仿宋" w:eastAsia="仿宋" w:cs="仿宋"/>
                <w:i w:val="0"/>
                <w:caps w:val="0"/>
                <w:color w:val="auto"/>
                <w:spacing w:val="0"/>
                <w:sz w:val="24"/>
                <w:szCs w:val="24"/>
                <w:u w:val="none"/>
              </w:rPr>
            </w:pPr>
          </w:p>
        </w:tc>
        <w:tc>
          <w:tcPr>
            <w:tcW w:w="103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大陈4号锚地</w:t>
            </w:r>
          </w:p>
        </w:tc>
        <w:tc>
          <w:tcPr>
            <w:tcW w:w="3816"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top"/>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28°28′14″N/121°54′15″E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28°28′43″N/121°53′56″E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28°28′25″N/121°53′22″E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28°27′45″N/121°53′27″E</w:t>
            </w:r>
          </w:p>
        </w:tc>
        <w:tc>
          <w:tcPr>
            <w:tcW w:w="912"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1.4km</w:t>
            </w:r>
            <w:r>
              <w:rPr>
                <w:rFonts w:hint="eastAsia" w:ascii="仿宋" w:hAnsi="仿宋" w:eastAsia="仿宋" w:cs="仿宋"/>
                <w:i w:val="0"/>
                <w:caps w:val="0"/>
                <w:color w:val="auto"/>
                <w:spacing w:val="0"/>
                <w:kern w:val="0"/>
                <w:sz w:val="24"/>
                <w:szCs w:val="24"/>
                <w:u w:val="none"/>
                <w:vertAlign w:val="superscript"/>
                <w:lang w:val="en-US" w:eastAsia="zh-CN" w:bidi="ar"/>
              </w:rPr>
              <w:t>2</w:t>
            </w:r>
          </w:p>
        </w:tc>
        <w:tc>
          <w:tcPr>
            <w:tcW w:w="91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18～25m</w:t>
            </w:r>
          </w:p>
        </w:tc>
        <w:tc>
          <w:tcPr>
            <w:tcW w:w="750"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泥</w:t>
            </w:r>
          </w:p>
        </w:tc>
        <w:tc>
          <w:tcPr>
            <w:tcW w:w="990" w:type="dxa"/>
            <w:tcBorders>
              <w:top w:val="single" w:color="auto" w:sz="4" w:space="0"/>
              <w:left w:val="single" w:color="auto" w:sz="4" w:space="0"/>
              <w:bottom w:val="single" w:color="auto" w:sz="4" w:space="0"/>
              <w:right w:val="single" w:color="auto" w:sz="12"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避风、待泊</w:t>
            </w:r>
          </w:p>
        </w:tc>
      </w:tr>
      <w:tr>
        <w:tblPrEx>
          <w:tblCellMar>
            <w:top w:w="0" w:type="dxa"/>
            <w:left w:w="0" w:type="dxa"/>
            <w:bottom w:w="0" w:type="dxa"/>
            <w:right w:w="0" w:type="dxa"/>
          </w:tblCellMar>
        </w:tblPrEx>
        <w:tc>
          <w:tcPr>
            <w:tcW w:w="533" w:type="dxa"/>
            <w:vMerge w:val="restart"/>
            <w:tcBorders>
              <w:top w:val="single" w:color="auto" w:sz="4" w:space="0"/>
              <w:left w:val="single" w:color="auto" w:sz="12"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大</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麦</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屿</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港</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区</w:t>
            </w:r>
          </w:p>
        </w:tc>
        <w:tc>
          <w:tcPr>
            <w:tcW w:w="103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大麦屿引航检疫锚地</w:t>
            </w:r>
          </w:p>
        </w:tc>
        <w:tc>
          <w:tcPr>
            <w:tcW w:w="3816"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top"/>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28°03′03″N/121°13′00″E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28°02′45″N/121°11′42″E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28°02′12″N/121°11′31″E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28°02′12″N/121°12′48″E</w:t>
            </w:r>
          </w:p>
        </w:tc>
        <w:tc>
          <w:tcPr>
            <w:tcW w:w="912"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2.6km</w:t>
            </w:r>
            <w:r>
              <w:rPr>
                <w:rFonts w:hint="eastAsia" w:ascii="仿宋" w:hAnsi="仿宋" w:eastAsia="仿宋" w:cs="仿宋"/>
                <w:i w:val="0"/>
                <w:caps w:val="0"/>
                <w:color w:val="auto"/>
                <w:spacing w:val="0"/>
                <w:kern w:val="0"/>
                <w:sz w:val="24"/>
                <w:szCs w:val="24"/>
                <w:u w:val="none"/>
                <w:vertAlign w:val="superscript"/>
                <w:lang w:val="en-US" w:eastAsia="zh-CN" w:bidi="ar"/>
              </w:rPr>
              <w:t>2</w:t>
            </w:r>
          </w:p>
        </w:tc>
        <w:tc>
          <w:tcPr>
            <w:tcW w:w="91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10~18m</w:t>
            </w:r>
          </w:p>
        </w:tc>
        <w:tc>
          <w:tcPr>
            <w:tcW w:w="750"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泥</w:t>
            </w:r>
          </w:p>
        </w:tc>
        <w:tc>
          <w:tcPr>
            <w:tcW w:w="990" w:type="dxa"/>
            <w:tcBorders>
              <w:top w:val="single" w:color="auto" w:sz="4" w:space="0"/>
              <w:left w:val="single" w:color="auto" w:sz="4" w:space="0"/>
              <w:bottom w:val="single" w:color="auto" w:sz="4" w:space="0"/>
              <w:right w:val="single" w:color="auto" w:sz="12"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引航</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检疫</w:t>
            </w:r>
          </w:p>
        </w:tc>
      </w:tr>
      <w:tr>
        <w:tblPrEx>
          <w:tblCellMar>
            <w:top w:w="0" w:type="dxa"/>
            <w:left w:w="0" w:type="dxa"/>
            <w:bottom w:w="0" w:type="dxa"/>
            <w:right w:w="0" w:type="dxa"/>
          </w:tblCellMar>
        </w:tblPrEx>
        <w:tc>
          <w:tcPr>
            <w:tcW w:w="533" w:type="dxa"/>
            <w:vMerge w:val="continue"/>
            <w:tcBorders>
              <w:top w:val="single" w:color="auto" w:sz="4" w:space="0"/>
              <w:left w:val="single" w:color="auto" w:sz="12" w:space="0"/>
              <w:bottom w:val="single" w:color="auto" w:sz="4" w:space="0"/>
              <w:right w:val="single" w:color="auto" w:sz="4" w:space="0"/>
            </w:tcBorders>
            <w:shd w:val="clear" w:color="auto" w:fill="auto"/>
            <w:tcMar>
              <w:left w:w="108" w:type="dxa"/>
              <w:right w:w="108" w:type="dxa"/>
            </w:tcMar>
            <w:vAlign w:val="center"/>
          </w:tcPr>
          <w:p>
            <w:pPr>
              <w:jc w:val="center"/>
              <w:rPr>
                <w:rFonts w:hint="eastAsia" w:ascii="仿宋" w:hAnsi="仿宋" w:eastAsia="仿宋" w:cs="仿宋"/>
                <w:i w:val="0"/>
                <w:caps w:val="0"/>
                <w:color w:val="auto"/>
                <w:spacing w:val="0"/>
                <w:sz w:val="24"/>
                <w:szCs w:val="24"/>
                <w:u w:val="none"/>
              </w:rPr>
            </w:pPr>
          </w:p>
        </w:tc>
        <w:tc>
          <w:tcPr>
            <w:tcW w:w="103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大麦屿</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3号锚地</w:t>
            </w:r>
          </w:p>
        </w:tc>
        <w:tc>
          <w:tcPr>
            <w:tcW w:w="3816"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top"/>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28°09′02″N/121°08′58″E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28°09′30″N/121°08′43″E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28°09′06″N/121°07′39″E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28°08′43″N/121°07′54″E</w:t>
            </w:r>
          </w:p>
        </w:tc>
        <w:tc>
          <w:tcPr>
            <w:tcW w:w="912"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1.6km</w:t>
            </w:r>
            <w:r>
              <w:rPr>
                <w:rFonts w:hint="eastAsia" w:ascii="仿宋" w:hAnsi="仿宋" w:eastAsia="仿宋" w:cs="仿宋"/>
                <w:i w:val="0"/>
                <w:caps w:val="0"/>
                <w:color w:val="auto"/>
                <w:spacing w:val="0"/>
                <w:kern w:val="0"/>
                <w:sz w:val="24"/>
                <w:szCs w:val="24"/>
                <w:u w:val="none"/>
                <w:vertAlign w:val="superscript"/>
                <w:lang w:val="en-US" w:eastAsia="zh-CN" w:bidi="ar"/>
              </w:rPr>
              <w:t>2</w:t>
            </w:r>
          </w:p>
        </w:tc>
        <w:tc>
          <w:tcPr>
            <w:tcW w:w="91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5～7m</w:t>
            </w:r>
          </w:p>
        </w:tc>
        <w:tc>
          <w:tcPr>
            <w:tcW w:w="750"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泥</w:t>
            </w:r>
          </w:p>
        </w:tc>
        <w:tc>
          <w:tcPr>
            <w:tcW w:w="990" w:type="dxa"/>
            <w:tcBorders>
              <w:top w:val="single" w:color="auto" w:sz="4" w:space="0"/>
              <w:left w:val="single" w:color="auto" w:sz="4" w:space="0"/>
              <w:bottom w:val="single" w:color="auto" w:sz="4" w:space="0"/>
              <w:right w:val="single" w:color="auto" w:sz="12"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待泊、避风</w:t>
            </w:r>
          </w:p>
        </w:tc>
      </w:tr>
      <w:tr>
        <w:tblPrEx>
          <w:tblCellMar>
            <w:top w:w="0" w:type="dxa"/>
            <w:left w:w="0" w:type="dxa"/>
            <w:bottom w:w="0" w:type="dxa"/>
            <w:right w:w="0" w:type="dxa"/>
          </w:tblCellMar>
        </w:tblPrEx>
        <w:tc>
          <w:tcPr>
            <w:tcW w:w="533" w:type="dxa"/>
            <w:vMerge w:val="continue"/>
            <w:tcBorders>
              <w:top w:val="single" w:color="auto" w:sz="4" w:space="0"/>
              <w:left w:val="single" w:color="auto" w:sz="12" w:space="0"/>
              <w:bottom w:val="single" w:color="auto" w:sz="4" w:space="0"/>
              <w:right w:val="single" w:color="auto" w:sz="4" w:space="0"/>
            </w:tcBorders>
            <w:shd w:val="clear" w:color="auto" w:fill="auto"/>
            <w:tcMar>
              <w:left w:w="108" w:type="dxa"/>
              <w:right w:w="108" w:type="dxa"/>
            </w:tcMar>
            <w:vAlign w:val="center"/>
          </w:tcPr>
          <w:p>
            <w:pPr>
              <w:jc w:val="center"/>
              <w:rPr>
                <w:rFonts w:hint="eastAsia" w:ascii="仿宋" w:hAnsi="仿宋" w:eastAsia="仿宋" w:cs="仿宋"/>
                <w:i w:val="0"/>
                <w:caps w:val="0"/>
                <w:color w:val="auto"/>
                <w:spacing w:val="0"/>
                <w:sz w:val="24"/>
                <w:szCs w:val="24"/>
                <w:u w:val="none"/>
              </w:rPr>
            </w:pPr>
          </w:p>
        </w:tc>
        <w:tc>
          <w:tcPr>
            <w:tcW w:w="103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大麦屿</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4号锚地</w:t>
            </w:r>
          </w:p>
        </w:tc>
        <w:tc>
          <w:tcPr>
            <w:tcW w:w="3816"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top"/>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28°07′39″N/121°05′24″E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28°07′39″N/121°06′21″E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28°05′00″N/121°07′02″E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28°05′00″N/121°05′39″E</w:t>
            </w:r>
          </w:p>
        </w:tc>
        <w:tc>
          <w:tcPr>
            <w:tcW w:w="912"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9.8km</w:t>
            </w:r>
            <w:r>
              <w:rPr>
                <w:rFonts w:hint="eastAsia" w:ascii="仿宋" w:hAnsi="仿宋" w:eastAsia="仿宋" w:cs="仿宋"/>
                <w:i w:val="0"/>
                <w:caps w:val="0"/>
                <w:color w:val="auto"/>
                <w:spacing w:val="0"/>
                <w:kern w:val="0"/>
                <w:sz w:val="24"/>
                <w:szCs w:val="24"/>
                <w:u w:val="none"/>
                <w:vertAlign w:val="superscript"/>
                <w:lang w:val="en-US" w:eastAsia="zh-CN" w:bidi="ar"/>
              </w:rPr>
              <w:t>2</w:t>
            </w:r>
          </w:p>
        </w:tc>
        <w:tc>
          <w:tcPr>
            <w:tcW w:w="91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5-20m</w:t>
            </w:r>
          </w:p>
        </w:tc>
        <w:tc>
          <w:tcPr>
            <w:tcW w:w="750"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泥</w:t>
            </w:r>
          </w:p>
        </w:tc>
        <w:tc>
          <w:tcPr>
            <w:tcW w:w="990" w:type="dxa"/>
            <w:tcBorders>
              <w:top w:val="single" w:color="auto" w:sz="4" w:space="0"/>
              <w:left w:val="single" w:color="auto" w:sz="4" w:space="0"/>
              <w:bottom w:val="single" w:color="auto" w:sz="4" w:space="0"/>
              <w:right w:val="single" w:color="auto" w:sz="12"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待泊</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过驳、避风</w:t>
            </w:r>
          </w:p>
        </w:tc>
      </w:tr>
      <w:tr>
        <w:tblPrEx>
          <w:tblCellMar>
            <w:top w:w="0" w:type="dxa"/>
            <w:left w:w="0" w:type="dxa"/>
            <w:bottom w:w="0" w:type="dxa"/>
            <w:right w:w="0" w:type="dxa"/>
          </w:tblCellMar>
        </w:tblPrEx>
        <w:tc>
          <w:tcPr>
            <w:tcW w:w="533" w:type="dxa"/>
            <w:vMerge w:val="restart"/>
            <w:tcBorders>
              <w:top w:val="single" w:color="auto" w:sz="4" w:space="0"/>
              <w:left w:val="single" w:color="auto" w:sz="12"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大</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麦</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屿</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港</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区</w:t>
            </w:r>
          </w:p>
        </w:tc>
        <w:tc>
          <w:tcPr>
            <w:tcW w:w="103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大麦屿</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5号锚地</w:t>
            </w:r>
          </w:p>
        </w:tc>
        <w:tc>
          <w:tcPr>
            <w:tcW w:w="3816"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top"/>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28°03′11″N/121°05′44″E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28°03′24″N/121°07′24″E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28°02′02″N/121°07′48″E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28°01′48″N/121°05′51″E</w:t>
            </w:r>
          </w:p>
        </w:tc>
        <w:tc>
          <w:tcPr>
            <w:tcW w:w="912"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7.5km</w:t>
            </w:r>
            <w:r>
              <w:rPr>
                <w:rFonts w:hint="eastAsia" w:ascii="仿宋" w:hAnsi="仿宋" w:eastAsia="仿宋" w:cs="仿宋"/>
                <w:i w:val="0"/>
                <w:caps w:val="0"/>
                <w:color w:val="auto"/>
                <w:spacing w:val="0"/>
                <w:kern w:val="0"/>
                <w:sz w:val="24"/>
                <w:szCs w:val="24"/>
                <w:u w:val="none"/>
                <w:vertAlign w:val="superscript"/>
                <w:lang w:val="en-US" w:eastAsia="zh-CN" w:bidi="ar"/>
              </w:rPr>
              <w:t>2</w:t>
            </w:r>
          </w:p>
        </w:tc>
        <w:tc>
          <w:tcPr>
            <w:tcW w:w="91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5-20m</w:t>
            </w:r>
          </w:p>
        </w:tc>
        <w:tc>
          <w:tcPr>
            <w:tcW w:w="750"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泥</w:t>
            </w:r>
          </w:p>
        </w:tc>
        <w:tc>
          <w:tcPr>
            <w:tcW w:w="990" w:type="dxa"/>
            <w:tcBorders>
              <w:top w:val="single" w:color="auto" w:sz="4" w:space="0"/>
              <w:left w:val="single" w:color="auto" w:sz="4" w:space="0"/>
              <w:bottom w:val="single" w:color="auto" w:sz="4" w:space="0"/>
              <w:right w:val="single" w:color="auto" w:sz="12"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待泊、避风</w:t>
            </w:r>
          </w:p>
        </w:tc>
      </w:tr>
      <w:tr>
        <w:tblPrEx>
          <w:tblCellMar>
            <w:top w:w="0" w:type="dxa"/>
            <w:left w:w="0" w:type="dxa"/>
            <w:bottom w:w="0" w:type="dxa"/>
            <w:right w:w="0" w:type="dxa"/>
          </w:tblCellMar>
        </w:tblPrEx>
        <w:tc>
          <w:tcPr>
            <w:tcW w:w="533" w:type="dxa"/>
            <w:vMerge w:val="continue"/>
            <w:tcBorders>
              <w:top w:val="single" w:color="auto" w:sz="4" w:space="0"/>
              <w:left w:val="single" w:color="auto" w:sz="12" w:space="0"/>
              <w:bottom w:val="single" w:color="auto" w:sz="4" w:space="0"/>
              <w:right w:val="single" w:color="auto" w:sz="4" w:space="0"/>
            </w:tcBorders>
            <w:shd w:val="clear" w:color="auto" w:fill="auto"/>
            <w:tcMar>
              <w:left w:w="108" w:type="dxa"/>
              <w:right w:w="108" w:type="dxa"/>
            </w:tcMar>
            <w:vAlign w:val="center"/>
          </w:tcPr>
          <w:p>
            <w:pPr>
              <w:jc w:val="center"/>
              <w:rPr>
                <w:rFonts w:hint="eastAsia" w:ascii="仿宋" w:hAnsi="仿宋" w:eastAsia="仿宋" w:cs="仿宋"/>
                <w:i w:val="0"/>
                <w:caps w:val="0"/>
                <w:color w:val="auto"/>
                <w:spacing w:val="0"/>
                <w:sz w:val="24"/>
                <w:szCs w:val="24"/>
                <w:u w:val="none"/>
              </w:rPr>
            </w:pPr>
          </w:p>
        </w:tc>
        <w:tc>
          <w:tcPr>
            <w:tcW w:w="103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候潮锚地</w:t>
            </w:r>
          </w:p>
        </w:tc>
        <w:tc>
          <w:tcPr>
            <w:tcW w:w="3816"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top"/>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27°50′13″N/121°28′41″E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27°50′13″N/121°27′30″E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27°51′37″N/121°27′30″E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27°51′37″N/121°28′41″E</w:t>
            </w:r>
          </w:p>
        </w:tc>
        <w:tc>
          <w:tcPr>
            <w:tcW w:w="912"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p>
        </w:tc>
        <w:tc>
          <w:tcPr>
            <w:tcW w:w="91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18.5～20.5m</w:t>
            </w:r>
          </w:p>
        </w:tc>
        <w:tc>
          <w:tcPr>
            <w:tcW w:w="750"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泥</w:t>
            </w:r>
          </w:p>
        </w:tc>
        <w:tc>
          <w:tcPr>
            <w:tcW w:w="990" w:type="dxa"/>
            <w:tcBorders>
              <w:top w:val="single" w:color="auto" w:sz="4" w:space="0"/>
              <w:left w:val="single" w:color="auto" w:sz="4" w:space="0"/>
              <w:bottom w:val="single" w:color="auto" w:sz="4" w:space="0"/>
              <w:right w:val="single" w:color="auto" w:sz="12"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候泊</w:t>
            </w:r>
          </w:p>
        </w:tc>
      </w:tr>
      <w:tr>
        <w:tblPrEx>
          <w:tblCellMar>
            <w:top w:w="0" w:type="dxa"/>
            <w:left w:w="0" w:type="dxa"/>
            <w:bottom w:w="0" w:type="dxa"/>
            <w:right w:w="0" w:type="dxa"/>
          </w:tblCellMar>
        </w:tblPrEx>
        <w:tc>
          <w:tcPr>
            <w:tcW w:w="533" w:type="dxa"/>
            <w:vMerge w:val="restart"/>
            <w:tcBorders>
              <w:top w:val="single" w:color="auto" w:sz="4" w:space="0"/>
              <w:left w:val="single" w:color="auto" w:sz="12"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健</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跳</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港</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区</w:t>
            </w:r>
          </w:p>
        </w:tc>
        <w:tc>
          <w:tcPr>
            <w:tcW w:w="103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三门湾猫头</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驳载锚地</w:t>
            </w:r>
          </w:p>
        </w:tc>
        <w:tc>
          <w:tcPr>
            <w:tcW w:w="3816"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top"/>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29°07′30″N/121°38′30″E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29°06′48″N/121°38′30″E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29°06′12″N/121°39′30″E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29°06′54″N/121°39′30″E</w:t>
            </w:r>
          </w:p>
        </w:tc>
        <w:tc>
          <w:tcPr>
            <w:tcW w:w="912"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2.1km</w:t>
            </w:r>
            <w:r>
              <w:rPr>
                <w:rFonts w:hint="eastAsia" w:ascii="仿宋" w:hAnsi="仿宋" w:eastAsia="仿宋" w:cs="仿宋"/>
                <w:i w:val="0"/>
                <w:caps w:val="0"/>
                <w:color w:val="auto"/>
                <w:spacing w:val="0"/>
                <w:kern w:val="0"/>
                <w:sz w:val="24"/>
                <w:szCs w:val="24"/>
                <w:u w:val="none"/>
                <w:vertAlign w:val="superscript"/>
                <w:lang w:val="en-US" w:eastAsia="zh-CN" w:bidi="ar"/>
              </w:rPr>
              <w:t>2</w:t>
            </w:r>
          </w:p>
        </w:tc>
        <w:tc>
          <w:tcPr>
            <w:tcW w:w="91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11~20m</w:t>
            </w:r>
          </w:p>
        </w:tc>
        <w:tc>
          <w:tcPr>
            <w:tcW w:w="750"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泥</w:t>
            </w:r>
          </w:p>
        </w:tc>
        <w:tc>
          <w:tcPr>
            <w:tcW w:w="990" w:type="dxa"/>
            <w:tcBorders>
              <w:top w:val="single" w:color="auto" w:sz="4" w:space="0"/>
              <w:left w:val="single" w:color="auto" w:sz="4" w:space="0"/>
              <w:bottom w:val="single" w:color="auto" w:sz="4" w:space="0"/>
              <w:right w:val="single" w:color="auto" w:sz="12"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过驳</w:t>
            </w:r>
          </w:p>
        </w:tc>
      </w:tr>
      <w:tr>
        <w:tblPrEx>
          <w:tblCellMar>
            <w:top w:w="0" w:type="dxa"/>
            <w:left w:w="0" w:type="dxa"/>
            <w:bottom w:w="0" w:type="dxa"/>
            <w:right w:w="0" w:type="dxa"/>
          </w:tblCellMar>
        </w:tblPrEx>
        <w:tc>
          <w:tcPr>
            <w:tcW w:w="533" w:type="dxa"/>
            <w:vMerge w:val="continue"/>
            <w:tcBorders>
              <w:top w:val="single" w:color="auto" w:sz="4" w:space="0"/>
              <w:left w:val="single" w:color="auto" w:sz="12" w:space="0"/>
              <w:bottom w:val="single" w:color="auto" w:sz="4" w:space="0"/>
              <w:right w:val="single" w:color="auto" w:sz="4" w:space="0"/>
            </w:tcBorders>
            <w:shd w:val="clear" w:color="auto" w:fill="auto"/>
            <w:tcMar>
              <w:left w:w="108" w:type="dxa"/>
              <w:right w:w="108" w:type="dxa"/>
            </w:tcMar>
            <w:vAlign w:val="center"/>
          </w:tcPr>
          <w:p>
            <w:pPr>
              <w:jc w:val="center"/>
              <w:rPr>
                <w:rFonts w:hint="eastAsia" w:ascii="仿宋" w:hAnsi="仿宋" w:eastAsia="仿宋" w:cs="仿宋"/>
                <w:i w:val="0"/>
                <w:caps w:val="0"/>
                <w:color w:val="auto"/>
                <w:spacing w:val="0"/>
                <w:sz w:val="24"/>
                <w:szCs w:val="24"/>
                <w:u w:val="none"/>
              </w:rPr>
            </w:pPr>
          </w:p>
        </w:tc>
        <w:tc>
          <w:tcPr>
            <w:tcW w:w="103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三门大甲山</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待泊锚地</w:t>
            </w:r>
          </w:p>
        </w:tc>
        <w:tc>
          <w:tcPr>
            <w:tcW w:w="3816"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top"/>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29°01′30″N/121°48′04″E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29°02′48″N/121°45′00″E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29°02′48″N/121°47′00″E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29°01′30″N/121°46′48″E</w:t>
            </w:r>
          </w:p>
        </w:tc>
        <w:tc>
          <w:tcPr>
            <w:tcW w:w="912"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6.2km</w:t>
            </w:r>
            <w:r>
              <w:rPr>
                <w:rFonts w:hint="eastAsia" w:ascii="仿宋" w:hAnsi="仿宋" w:eastAsia="仿宋" w:cs="仿宋"/>
                <w:i w:val="0"/>
                <w:caps w:val="0"/>
                <w:color w:val="auto"/>
                <w:spacing w:val="0"/>
                <w:kern w:val="0"/>
                <w:sz w:val="24"/>
                <w:szCs w:val="24"/>
                <w:u w:val="none"/>
                <w:vertAlign w:val="superscript"/>
                <w:lang w:val="en-US" w:eastAsia="zh-CN" w:bidi="ar"/>
              </w:rPr>
              <w:t>2</w:t>
            </w:r>
          </w:p>
        </w:tc>
        <w:tc>
          <w:tcPr>
            <w:tcW w:w="91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9～11m</w:t>
            </w:r>
          </w:p>
        </w:tc>
        <w:tc>
          <w:tcPr>
            <w:tcW w:w="750"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泥</w:t>
            </w:r>
          </w:p>
        </w:tc>
        <w:tc>
          <w:tcPr>
            <w:tcW w:w="990" w:type="dxa"/>
            <w:tcBorders>
              <w:top w:val="single" w:color="auto" w:sz="4" w:space="0"/>
              <w:left w:val="single" w:color="auto" w:sz="4" w:space="0"/>
              <w:bottom w:val="single" w:color="auto" w:sz="4" w:space="0"/>
              <w:right w:val="single" w:color="auto" w:sz="12"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待泊</w:t>
            </w:r>
          </w:p>
        </w:tc>
      </w:tr>
      <w:tr>
        <w:tblPrEx>
          <w:tblCellMar>
            <w:top w:w="0" w:type="dxa"/>
            <w:left w:w="0" w:type="dxa"/>
            <w:bottom w:w="0" w:type="dxa"/>
            <w:right w:w="0" w:type="dxa"/>
          </w:tblCellMar>
        </w:tblPrEx>
        <w:tc>
          <w:tcPr>
            <w:tcW w:w="533" w:type="dxa"/>
            <w:vMerge w:val="continue"/>
            <w:tcBorders>
              <w:top w:val="single" w:color="auto" w:sz="4" w:space="0"/>
              <w:left w:val="single" w:color="auto" w:sz="12" w:space="0"/>
              <w:bottom w:val="single" w:color="auto" w:sz="4" w:space="0"/>
              <w:right w:val="single" w:color="auto" w:sz="4" w:space="0"/>
            </w:tcBorders>
            <w:shd w:val="clear" w:color="auto" w:fill="auto"/>
            <w:tcMar>
              <w:left w:w="108" w:type="dxa"/>
              <w:right w:w="108" w:type="dxa"/>
            </w:tcMar>
            <w:vAlign w:val="center"/>
          </w:tcPr>
          <w:p>
            <w:pPr>
              <w:jc w:val="center"/>
              <w:rPr>
                <w:rFonts w:hint="eastAsia" w:ascii="仿宋" w:hAnsi="仿宋" w:eastAsia="仿宋" w:cs="仿宋"/>
                <w:i w:val="0"/>
                <w:caps w:val="0"/>
                <w:color w:val="auto"/>
                <w:spacing w:val="0"/>
                <w:sz w:val="24"/>
                <w:szCs w:val="24"/>
                <w:u w:val="none"/>
              </w:rPr>
            </w:pPr>
          </w:p>
        </w:tc>
        <w:tc>
          <w:tcPr>
            <w:tcW w:w="103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三门猫头水</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道小轮锚地</w:t>
            </w:r>
          </w:p>
        </w:tc>
        <w:tc>
          <w:tcPr>
            <w:tcW w:w="3816"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top"/>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29°04′30″N/121°40′24″E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29°04′30″N/121°41′12″E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29°05′48″N/121°40′00″E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29°05′48″N/121°39′12″E</w:t>
            </w:r>
          </w:p>
        </w:tc>
        <w:tc>
          <w:tcPr>
            <w:tcW w:w="912"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3.12 km</w:t>
            </w:r>
            <w:r>
              <w:rPr>
                <w:rFonts w:hint="eastAsia" w:ascii="仿宋" w:hAnsi="仿宋" w:eastAsia="仿宋" w:cs="仿宋"/>
                <w:i w:val="0"/>
                <w:caps w:val="0"/>
                <w:color w:val="auto"/>
                <w:spacing w:val="0"/>
                <w:kern w:val="0"/>
                <w:sz w:val="24"/>
                <w:szCs w:val="24"/>
                <w:u w:val="none"/>
                <w:vertAlign w:val="superscript"/>
                <w:lang w:val="en-US" w:eastAsia="zh-CN" w:bidi="ar"/>
              </w:rPr>
              <w:t>2</w:t>
            </w:r>
          </w:p>
        </w:tc>
        <w:tc>
          <w:tcPr>
            <w:tcW w:w="91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5～10m</w:t>
            </w:r>
          </w:p>
        </w:tc>
        <w:tc>
          <w:tcPr>
            <w:tcW w:w="750"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泥</w:t>
            </w:r>
          </w:p>
        </w:tc>
        <w:tc>
          <w:tcPr>
            <w:tcW w:w="990" w:type="dxa"/>
            <w:tcBorders>
              <w:top w:val="single" w:color="auto" w:sz="4" w:space="0"/>
              <w:left w:val="single" w:color="auto" w:sz="4" w:space="0"/>
              <w:bottom w:val="single" w:color="auto" w:sz="4" w:space="0"/>
              <w:right w:val="single" w:color="auto" w:sz="12"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避风、待泊</w:t>
            </w:r>
          </w:p>
        </w:tc>
      </w:tr>
      <w:tr>
        <w:tblPrEx>
          <w:tblCellMar>
            <w:top w:w="0" w:type="dxa"/>
            <w:left w:w="0" w:type="dxa"/>
            <w:bottom w:w="0" w:type="dxa"/>
            <w:right w:w="0" w:type="dxa"/>
          </w:tblCellMar>
        </w:tblPrEx>
        <w:tc>
          <w:tcPr>
            <w:tcW w:w="533" w:type="dxa"/>
            <w:vMerge w:val="restart"/>
            <w:tcBorders>
              <w:top w:val="single" w:color="auto" w:sz="4" w:space="0"/>
              <w:left w:val="single" w:color="auto" w:sz="12"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温</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岭</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港</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区</w:t>
            </w:r>
          </w:p>
        </w:tc>
        <w:tc>
          <w:tcPr>
            <w:tcW w:w="103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温岭粗砂头港鲜泥海产品发运锚地</w:t>
            </w:r>
          </w:p>
        </w:tc>
        <w:tc>
          <w:tcPr>
            <w:tcW w:w="3816"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top"/>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28°16′14″N/121°37′12″E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28°16′08″N/121°37′12″E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28°16′08″N/121°37′34″E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28°16′16″N/121°37′34″E</w:t>
            </w:r>
          </w:p>
        </w:tc>
        <w:tc>
          <w:tcPr>
            <w:tcW w:w="912"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0.24km</w:t>
            </w:r>
            <w:r>
              <w:rPr>
                <w:rFonts w:hint="eastAsia" w:ascii="仿宋" w:hAnsi="仿宋" w:eastAsia="仿宋" w:cs="仿宋"/>
                <w:i w:val="0"/>
                <w:caps w:val="0"/>
                <w:color w:val="auto"/>
                <w:spacing w:val="0"/>
                <w:kern w:val="0"/>
                <w:sz w:val="24"/>
                <w:szCs w:val="24"/>
                <w:u w:val="none"/>
                <w:vertAlign w:val="superscript"/>
                <w:lang w:val="en-US" w:eastAsia="zh-CN" w:bidi="ar"/>
              </w:rPr>
              <w:t>2</w:t>
            </w:r>
          </w:p>
        </w:tc>
        <w:tc>
          <w:tcPr>
            <w:tcW w:w="915"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3m</w:t>
            </w:r>
          </w:p>
        </w:tc>
        <w:tc>
          <w:tcPr>
            <w:tcW w:w="750" w:type="dxa"/>
            <w:tcBorders>
              <w:top w:val="single" w:color="auto" w:sz="4" w:space="0"/>
              <w:left w:val="single" w:color="auto" w:sz="4" w:space="0"/>
              <w:bottom w:val="single" w:color="auto" w:sz="4"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泥</w:t>
            </w:r>
          </w:p>
        </w:tc>
        <w:tc>
          <w:tcPr>
            <w:tcW w:w="990" w:type="dxa"/>
            <w:tcBorders>
              <w:top w:val="single" w:color="auto" w:sz="4" w:space="0"/>
              <w:left w:val="single" w:color="auto" w:sz="4" w:space="0"/>
              <w:bottom w:val="single" w:color="auto" w:sz="4" w:space="0"/>
              <w:right w:val="single" w:color="auto" w:sz="12"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过驳</w:t>
            </w:r>
          </w:p>
        </w:tc>
      </w:tr>
      <w:tr>
        <w:tblPrEx>
          <w:tblCellMar>
            <w:top w:w="0" w:type="dxa"/>
            <w:left w:w="0" w:type="dxa"/>
            <w:bottom w:w="0" w:type="dxa"/>
            <w:right w:w="0" w:type="dxa"/>
          </w:tblCellMar>
        </w:tblPrEx>
        <w:tc>
          <w:tcPr>
            <w:tcW w:w="533" w:type="dxa"/>
            <w:vMerge w:val="continue"/>
            <w:tcBorders>
              <w:top w:val="single" w:color="auto" w:sz="4" w:space="0"/>
              <w:left w:val="single" w:color="auto" w:sz="12" w:space="0"/>
              <w:bottom w:val="single" w:color="auto" w:sz="12" w:space="0"/>
              <w:right w:val="single" w:color="auto" w:sz="4" w:space="0"/>
            </w:tcBorders>
            <w:shd w:val="clear" w:color="auto" w:fill="auto"/>
            <w:tcMar>
              <w:left w:w="108" w:type="dxa"/>
              <w:right w:w="108" w:type="dxa"/>
            </w:tcMar>
            <w:vAlign w:val="center"/>
          </w:tcPr>
          <w:p>
            <w:pPr>
              <w:jc w:val="center"/>
              <w:rPr>
                <w:rFonts w:hint="eastAsia" w:ascii="仿宋" w:hAnsi="仿宋" w:eastAsia="仿宋" w:cs="仿宋"/>
                <w:i w:val="0"/>
                <w:caps w:val="0"/>
                <w:color w:val="auto"/>
                <w:spacing w:val="0"/>
                <w:sz w:val="24"/>
                <w:szCs w:val="24"/>
                <w:u w:val="none"/>
              </w:rPr>
            </w:pPr>
          </w:p>
        </w:tc>
        <w:tc>
          <w:tcPr>
            <w:tcW w:w="1035" w:type="dxa"/>
            <w:tcBorders>
              <w:top w:val="single" w:color="auto" w:sz="4" w:space="0"/>
              <w:left w:val="single" w:color="auto" w:sz="4" w:space="0"/>
              <w:bottom w:val="single" w:color="auto" w:sz="12"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both"/>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温岭礁山引航检疫锚地</w:t>
            </w:r>
          </w:p>
        </w:tc>
        <w:tc>
          <w:tcPr>
            <w:tcW w:w="3816" w:type="dxa"/>
            <w:tcBorders>
              <w:top w:val="single" w:color="auto" w:sz="4" w:space="0"/>
              <w:left w:val="single" w:color="auto" w:sz="4" w:space="0"/>
              <w:bottom w:val="single" w:color="auto" w:sz="12" w:space="0"/>
              <w:right w:val="single" w:color="auto" w:sz="4" w:space="0"/>
            </w:tcBorders>
            <w:shd w:val="clear" w:color="auto" w:fill="auto"/>
            <w:tcMar>
              <w:left w:w="108" w:type="dxa"/>
              <w:right w:w="108" w:type="dxa"/>
            </w:tcMar>
            <w:vAlign w:val="top"/>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28°21′16″N/121°39′34″E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28°21′13″N/121°40′01″E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28°21′02″N/121°39′30″E</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28°20′57″N/121°39′58″E</w:t>
            </w:r>
          </w:p>
        </w:tc>
        <w:tc>
          <w:tcPr>
            <w:tcW w:w="912" w:type="dxa"/>
            <w:tcBorders>
              <w:top w:val="single" w:color="auto" w:sz="4" w:space="0"/>
              <w:left w:val="single" w:color="auto" w:sz="4" w:space="0"/>
              <w:bottom w:val="single" w:color="auto" w:sz="12"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0.24km</w:t>
            </w:r>
            <w:r>
              <w:rPr>
                <w:rFonts w:hint="eastAsia" w:ascii="仿宋" w:hAnsi="仿宋" w:eastAsia="仿宋" w:cs="仿宋"/>
                <w:i w:val="0"/>
                <w:caps w:val="0"/>
                <w:color w:val="auto"/>
                <w:spacing w:val="0"/>
                <w:kern w:val="0"/>
                <w:sz w:val="24"/>
                <w:szCs w:val="24"/>
                <w:u w:val="none"/>
                <w:vertAlign w:val="superscript"/>
                <w:lang w:val="en-US" w:eastAsia="zh-CN" w:bidi="ar"/>
              </w:rPr>
              <w:t>2</w:t>
            </w:r>
          </w:p>
        </w:tc>
        <w:tc>
          <w:tcPr>
            <w:tcW w:w="915" w:type="dxa"/>
            <w:tcBorders>
              <w:top w:val="single" w:color="auto" w:sz="4" w:space="0"/>
              <w:left w:val="single" w:color="auto" w:sz="4" w:space="0"/>
              <w:bottom w:val="single" w:color="auto" w:sz="12"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3m</w:t>
            </w:r>
          </w:p>
        </w:tc>
        <w:tc>
          <w:tcPr>
            <w:tcW w:w="750" w:type="dxa"/>
            <w:tcBorders>
              <w:top w:val="single" w:color="auto" w:sz="4" w:space="0"/>
              <w:left w:val="single" w:color="auto" w:sz="4" w:space="0"/>
              <w:bottom w:val="single" w:color="auto" w:sz="12" w:space="0"/>
              <w:right w:val="single" w:color="auto" w:sz="4"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泥</w:t>
            </w:r>
          </w:p>
        </w:tc>
        <w:tc>
          <w:tcPr>
            <w:tcW w:w="990" w:type="dxa"/>
            <w:tcBorders>
              <w:top w:val="single" w:color="auto" w:sz="4" w:space="0"/>
              <w:left w:val="single" w:color="auto" w:sz="4" w:space="0"/>
              <w:bottom w:val="single" w:color="auto" w:sz="12" w:space="0"/>
              <w:right w:val="single" w:color="auto" w:sz="12" w:space="0"/>
            </w:tcBorders>
            <w:shd w:val="clear" w:color="auto" w:fill="auto"/>
            <w:tcMar>
              <w:left w:w="108" w:type="dxa"/>
              <w:right w:w="108" w:type="dxa"/>
            </w:tcMar>
            <w:vAlign w:val="center"/>
          </w:tcPr>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引航</w:t>
            </w:r>
          </w:p>
          <w:p>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40" w:lineRule="atLeast"/>
              <w:ind w:left="0" w:right="0"/>
              <w:jc w:val="center"/>
              <w:rPr>
                <w:rFonts w:hint="eastAsia" w:ascii="仿宋" w:hAnsi="仿宋" w:eastAsia="仿宋" w:cs="仿宋"/>
                <w:color w:val="auto"/>
                <w:sz w:val="24"/>
                <w:szCs w:val="24"/>
              </w:rPr>
            </w:pPr>
            <w:r>
              <w:rPr>
                <w:rFonts w:hint="eastAsia" w:ascii="仿宋" w:hAnsi="仿宋" w:eastAsia="仿宋" w:cs="仿宋"/>
                <w:i w:val="0"/>
                <w:caps w:val="0"/>
                <w:color w:val="auto"/>
                <w:spacing w:val="0"/>
                <w:kern w:val="0"/>
                <w:sz w:val="24"/>
                <w:szCs w:val="24"/>
                <w:u w:val="none"/>
                <w:lang w:val="en-US" w:eastAsia="zh-CN" w:bidi="ar"/>
              </w:rPr>
              <w:t>检疫</w:t>
            </w:r>
          </w:p>
        </w:tc>
      </w:tr>
    </w:tbl>
    <w:p>
      <w:pPr>
        <w:bidi w:val="0"/>
        <w:spacing w:line="360" w:lineRule="auto"/>
        <w:jc w:val="both"/>
        <w:rPr>
          <w:rFonts w:hint="eastAsia" w:ascii="仿宋" w:hAnsi="仿宋" w:eastAsia="仿宋" w:cs="仿宋"/>
          <w:color w:val="auto"/>
          <w:sz w:val="28"/>
          <w:szCs w:val="28"/>
          <w:lang w:val="en-US" w:eastAsia="zh-CN"/>
        </w:rPr>
      </w:pPr>
    </w:p>
    <w:p>
      <w:pPr>
        <w:bidi w:val="0"/>
        <w:spacing w:line="360" w:lineRule="auto"/>
        <w:ind w:firstLine="562" w:firstLineChars="200"/>
        <w:jc w:val="both"/>
        <w:outlineLvl w:val="1"/>
        <w:rPr>
          <w:rFonts w:hint="eastAsia" w:ascii="仿宋" w:hAnsi="仿宋" w:eastAsia="仿宋" w:cs="仿宋"/>
          <w:b/>
          <w:bCs/>
          <w:color w:val="auto"/>
          <w:sz w:val="28"/>
          <w:szCs w:val="28"/>
        </w:rPr>
      </w:pPr>
      <w:bookmarkStart w:id="18" w:name="_Toc9235"/>
      <w:r>
        <w:rPr>
          <w:rFonts w:hint="eastAsia" w:ascii="仿宋" w:hAnsi="仿宋" w:eastAsia="仿宋" w:cs="仿宋"/>
          <w:b/>
          <w:bCs/>
          <w:color w:val="auto"/>
          <w:sz w:val="28"/>
          <w:szCs w:val="28"/>
          <w:lang w:val="en-US" w:eastAsia="zh-CN"/>
        </w:rPr>
        <w:t xml:space="preserve">2.6 </w:t>
      </w:r>
      <w:r>
        <w:rPr>
          <w:rFonts w:hint="eastAsia" w:ascii="仿宋" w:hAnsi="仿宋" w:eastAsia="仿宋" w:cs="仿宋"/>
          <w:b/>
          <w:bCs/>
          <w:color w:val="auto"/>
          <w:sz w:val="28"/>
          <w:szCs w:val="28"/>
        </w:rPr>
        <w:t>台州海域环境敏感资源情况</w:t>
      </w:r>
      <w:bookmarkEnd w:id="18"/>
    </w:p>
    <w:p>
      <w:pPr>
        <w:bidi w:val="0"/>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台州市海域辽阔，海岸线曲折漫长，岛屿众多</w:t>
      </w:r>
      <w:r>
        <w:rPr>
          <w:rFonts w:hint="eastAsia" w:ascii="仿宋" w:hAnsi="仿宋" w:eastAsia="仿宋" w:cs="仿宋"/>
          <w:color w:val="auto"/>
          <w:sz w:val="28"/>
          <w:szCs w:val="28"/>
          <w:lang w:eastAsia="zh-CN"/>
        </w:rPr>
        <w:t>，分布着众多</w:t>
      </w:r>
      <w:r>
        <w:rPr>
          <w:rFonts w:hint="eastAsia" w:ascii="仿宋" w:hAnsi="仿宋" w:eastAsia="仿宋" w:cs="仿宋"/>
          <w:color w:val="auto"/>
          <w:sz w:val="28"/>
          <w:szCs w:val="28"/>
        </w:rPr>
        <w:t>环境敏感资源</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主要有：</w:t>
      </w:r>
    </w:p>
    <w:p>
      <w:pPr>
        <w:bidi w:val="0"/>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2.6.1 </w:t>
      </w:r>
      <w:r>
        <w:rPr>
          <w:rFonts w:hint="eastAsia" w:ascii="仿宋" w:hAnsi="仿宋" w:eastAsia="仿宋" w:cs="仿宋"/>
          <w:color w:val="auto"/>
          <w:sz w:val="28"/>
          <w:szCs w:val="28"/>
        </w:rPr>
        <w:t>海洋和海岸自然生态重点保护区：玉环滩涂湿地生态功能保护区，最优先保护。</w:t>
      </w:r>
    </w:p>
    <w:p>
      <w:pPr>
        <w:bidi w:val="0"/>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2.6.2 </w:t>
      </w:r>
      <w:r>
        <w:rPr>
          <w:rFonts w:hint="eastAsia" w:ascii="仿宋" w:hAnsi="仿宋" w:eastAsia="仿宋" w:cs="仿宋"/>
          <w:color w:val="auto"/>
          <w:sz w:val="28"/>
          <w:szCs w:val="28"/>
        </w:rPr>
        <w:t>自然遗迹和非生物自然保护区：健跳古城海防史迹保护区、上盘翼龙化石产地保护区、临海桃渚城抗倭遗址海防史迹保护区和桃渚珊瑚岩地质保护区等，优先保护。</w:t>
      </w:r>
    </w:p>
    <w:p>
      <w:pPr>
        <w:bidi w:val="0"/>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2.6.3 </w:t>
      </w:r>
      <w:r>
        <w:rPr>
          <w:rFonts w:hint="eastAsia" w:ascii="仿宋" w:hAnsi="仿宋" w:eastAsia="仿宋" w:cs="仿宋"/>
          <w:color w:val="auto"/>
          <w:sz w:val="28"/>
          <w:szCs w:val="28"/>
        </w:rPr>
        <w:t>海洋特别保护区：大陈岛海洋特别保护区和鸡山海洋特别保护区，最优先保护。</w:t>
      </w:r>
    </w:p>
    <w:p>
      <w:pPr>
        <w:bidi w:val="0"/>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2.6.4 </w:t>
      </w:r>
      <w:r>
        <w:rPr>
          <w:rFonts w:hint="eastAsia" w:ascii="仿宋" w:hAnsi="仿宋" w:eastAsia="仿宋" w:cs="仿宋"/>
          <w:color w:val="auto"/>
          <w:sz w:val="28"/>
          <w:szCs w:val="28"/>
        </w:rPr>
        <w:t>渔业资源利用和养护区：渔港和渔业设施设备库建设区主要有健跳渔港建设区、大陈渔港建设区、温岭中心渔港建设区和坎门中心渔港建设区；养殖区主要有三门湾、浦坝港养殖区，东矶列岛养殖区，北洋涂养殖区，大陈岛养殖区，漩门湾、乐清湾养殖区和鸡山、披山养殖区等；增殖区主要有东矶列岛增殖区、大陈岛</w:t>
      </w:r>
    </w:p>
    <w:p>
      <w:pPr>
        <w:bidi w:val="0"/>
        <w:spacing w:line="360" w:lineRule="auto"/>
        <w:jc w:val="both"/>
        <w:rPr>
          <w:rFonts w:hint="eastAsia" w:ascii="仿宋" w:hAnsi="仿宋" w:eastAsia="仿宋" w:cs="仿宋"/>
          <w:color w:val="auto"/>
          <w:sz w:val="28"/>
          <w:szCs w:val="28"/>
        </w:rPr>
      </w:pPr>
      <w:r>
        <w:rPr>
          <w:rFonts w:hint="eastAsia" w:ascii="仿宋" w:hAnsi="仿宋" w:eastAsia="仿宋" w:cs="仿宋"/>
          <w:color w:val="auto"/>
          <w:sz w:val="28"/>
          <w:szCs w:val="28"/>
        </w:rPr>
        <w:t>增殖区、披山增殖区和三蒜岛增殖区等，最优先保护。</w:t>
      </w:r>
    </w:p>
    <w:p>
      <w:pPr>
        <w:pStyle w:val="19"/>
        <w:numPr>
          <w:ilvl w:val="0"/>
          <w:numId w:val="0"/>
        </w:numPr>
        <w:tabs>
          <w:tab w:val="left" w:pos="1482"/>
        </w:tabs>
        <w:spacing w:before="0" w:after="0" w:line="360" w:lineRule="auto"/>
        <w:ind w:right="481" w:rightChars="0" w:firstLine="536" w:firstLineChars="200"/>
        <w:jc w:val="both"/>
        <w:rPr>
          <w:rFonts w:hint="eastAsia" w:ascii="仿宋" w:hAnsi="仿宋" w:eastAsia="仿宋" w:cs="仿宋"/>
          <w:color w:val="auto"/>
          <w:spacing w:val="-6"/>
          <w:sz w:val="28"/>
          <w:szCs w:val="28"/>
        </w:rPr>
      </w:pPr>
      <w:r>
        <w:rPr>
          <w:rFonts w:hint="eastAsia" w:ascii="仿宋" w:hAnsi="仿宋" w:eastAsia="仿宋" w:cs="仿宋"/>
          <w:color w:val="auto"/>
          <w:spacing w:val="-6"/>
          <w:sz w:val="28"/>
          <w:szCs w:val="28"/>
          <w:lang w:val="en-US" w:eastAsia="zh-CN"/>
        </w:rPr>
        <w:t xml:space="preserve">2.6.5 </w:t>
      </w:r>
      <w:r>
        <w:rPr>
          <w:rFonts w:hint="eastAsia" w:ascii="仿宋" w:hAnsi="仿宋" w:eastAsia="仿宋" w:cs="仿宋"/>
          <w:color w:val="auto"/>
          <w:spacing w:val="-6"/>
          <w:sz w:val="28"/>
          <w:szCs w:val="28"/>
        </w:rPr>
        <w:t>旅游风景区：三门湾风景旅游区、桃渚风景旅游区、大陈岛风景旅游区、温岭东南滨海风景旅游区、大鹿岛风景旅游区和乐清湾风景旅游区等，优先保护。</w:t>
      </w:r>
    </w:p>
    <w:p>
      <w:pPr>
        <w:pStyle w:val="19"/>
        <w:numPr>
          <w:ilvl w:val="0"/>
          <w:numId w:val="0"/>
        </w:numPr>
        <w:tabs>
          <w:tab w:val="left" w:pos="1482"/>
        </w:tabs>
        <w:spacing w:before="0" w:after="0" w:line="360" w:lineRule="auto"/>
        <w:ind w:right="481" w:rightChars="0" w:firstLine="536" w:firstLineChars="200"/>
        <w:jc w:val="both"/>
        <w:rPr>
          <w:rFonts w:hint="eastAsia" w:ascii="仿宋" w:hAnsi="仿宋" w:eastAsia="仿宋" w:cs="仿宋"/>
          <w:color w:val="auto"/>
          <w:sz w:val="28"/>
          <w:szCs w:val="28"/>
          <w:lang w:eastAsia="zh-CN"/>
        </w:rPr>
      </w:pPr>
      <w:r>
        <w:rPr>
          <w:rFonts w:hint="eastAsia" w:ascii="仿宋" w:hAnsi="仿宋" w:eastAsia="仿宋" w:cs="仿宋"/>
          <w:color w:val="auto"/>
          <w:spacing w:val="-6"/>
          <w:sz w:val="28"/>
          <w:szCs w:val="28"/>
          <w:lang w:val="en-US" w:eastAsia="zh-CN"/>
        </w:rPr>
        <w:t xml:space="preserve">2.6.6 </w:t>
      </w:r>
      <w:r>
        <w:rPr>
          <w:rFonts w:hint="eastAsia" w:ascii="仿宋" w:hAnsi="仿宋" w:eastAsia="仿宋" w:cs="仿宋"/>
          <w:color w:val="auto"/>
          <w:spacing w:val="-6"/>
          <w:sz w:val="28"/>
          <w:szCs w:val="28"/>
        </w:rPr>
        <w:t>海水利用区：玉环盐场和大陈岛特殊工业用水区、温岭特殊</w:t>
      </w:r>
      <w:r>
        <w:rPr>
          <w:rFonts w:hint="eastAsia" w:ascii="仿宋" w:hAnsi="仿宋" w:eastAsia="仿宋" w:cs="仿宋"/>
          <w:color w:val="auto"/>
          <w:sz w:val="28"/>
          <w:szCs w:val="28"/>
        </w:rPr>
        <w:t>工业用水区和玉环特殊工业用水区，最优先保护</w:t>
      </w:r>
      <w:bookmarkStart w:id="19" w:name="_Toc6387"/>
      <w:bookmarkStart w:id="20" w:name="_Toc16749"/>
      <w:r>
        <w:rPr>
          <w:rFonts w:hint="eastAsia" w:ascii="仿宋" w:hAnsi="仿宋" w:eastAsia="仿宋" w:cs="仿宋"/>
          <w:color w:val="auto"/>
          <w:sz w:val="28"/>
          <w:szCs w:val="28"/>
          <w:lang w:eastAsia="zh-CN"/>
        </w:rPr>
        <w:t>。</w:t>
      </w:r>
    </w:p>
    <w:p>
      <w:pPr>
        <w:pStyle w:val="19"/>
        <w:numPr>
          <w:ilvl w:val="0"/>
          <w:numId w:val="0"/>
        </w:numPr>
        <w:tabs>
          <w:tab w:val="left" w:pos="1482"/>
        </w:tabs>
        <w:spacing w:before="0" w:after="0" w:line="360" w:lineRule="auto"/>
        <w:ind w:right="481" w:rightChars="0" w:firstLine="560" w:firstLineChars="200"/>
        <w:jc w:val="both"/>
        <w:rPr>
          <w:rFonts w:hint="eastAsia" w:ascii="仿宋" w:hAnsi="仿宋" w:eastAsia="仿宋" w:cs="仿宋"/>
          <w:color w:val="auto"/>
          <w:sz w:val="28"/>
          <w:szCs w:val="28"/>
          <w:lang w:eastAsia="zh-CN"/>
        </w:rPr>
      </w:pPr>
    </w:p>
    <w:p>
      <w:pPr>
        <w:pStyle w:val="7"/>
        <w:spacing w:before="100" w:line="360" w:lineRule="auto"/>
        <w:ind w:firstLine="562" w:firstLineChars="200"/>
        <w:jc w:val="both"/>
        <w:outlineLvl w:val="0"/>
        <w:rPr>
          <w:rFonts w:hint="eastAsia" w:ascii="仿宋" w:hAnsi="仿宋" w:eastAsia="仿宋" w:cs="仿宋"/>
          <w:b/>
          <w:bCs/>
          <w:color w:val="auto"/>
          <w:sz w:val="28"/>
          <w:szCs w:val="28"/>
        </w:rPr>
      </w:pPr>
      <w:bookmarkStart w:id="21" w:name="_Toc2912"/>
      <w:r>
        <w:rPr>
          <w:rFonts w:hint="eastAsia" w:ascii="仿宋" w:hAnsi="仿宋" w:eastAsia="仿宋" w:cs="仿宋"/>
          <w:b/>
          <w:bCs/>
          <w:color w:val="auto"/>
          <w:sz w:val="28"/>
          <w:szCs w:val="28"/>
          <w:lang w:val="en-US" w:eastAsia="zh-CN"/>
        </w:rPr>
        <w:t>3、</w:t>
      </w:r>
      <w:r>
        <w:rPr>
          <w:rFonts w:hint="eastAsia" w:ascii="仿宋" w:hAnsi="仿宋" w:eastAsia="仿宋" w:cs="仿宋"/>
          <w:b/>
          <w:bCs/>
          <w:color w:val="auto"/>
          <w:sz w:val="28"/>
          <w:szCs w:val="28"/>
        </w:rPr>
        <w:t>总体应急策略</w:t>
      </w:r>
      <w:bookmarkEnd w:id="19"/>
      <w:bookmarkEnd w:id="20"/>
      <w:bookmarkEnd w:id="21"/>
    </w:p>
    <w:p>
      <w:pPr>
        <w:pStyle w:val="24"/>
        <w:keepNext/>
        <w:keepLines w:val="0"/>
        <w:pageBreakBefore w:val="0"/>
        <w:widowControl/>
        <w:kinsoku/>
        <w:wordWrap/>
        <w:overflowPunct/>
        <w:topLinePunct w:val="0"/>
        <w:autoSpaceDE/>
        <w:autoSpaceDN/>
        <w:bidi w:val="0"/>
        <w:adjustRightInd/>
        <w:snapToGrid/>
        <w:spacing w:before="164" w:beforeLines="50" w:after="164" w:afterLines="50" w:line="360" w:lineRule="auto"/>
        <w:ind w:left="0" w:leftChars="0" w:firstLine="562" w:firstLineChars="200"/>
        <w:textAlignment w:val="auto"/>
        <w:outlineLvl w:val="1"/>
        <w:rPr>
          <w:rFonts w:hint="eastAsia" w:ascii="仿宋" w:hAnsi="仿宋" w:eastAsia="仿宋" w:cs="仿宋"/>
          <w:b/>
          <w:bCs/>
          <w:iCs/>
          <w:color w:val="auto"/>
          <w:sz w:val="28"/>
          <w:szCs w:val="28"/>
        </w:rPr>
      </w:pPr>
      <w:bookmarkStart w:id="22" w:name="_Toc8778"/>
      <w:bookmarkStart w:id="23" w:name="_Toc30504"/>
      <w:bookmarkStart w:id="24" w:name="_Toc3888"/>
      <w:r>
        <w:rPr>
          <w:rFonts w:hint="eastAsia" w:ascii="仿宋" w:hAnsi="仿宋" w:eastAsia="仿宋" w:cs="仿宋"/>
          <w:b/>
          <w:bCs/>
          <w:iCs/>
          <w:color w:val="auto"/>
          <w:sz w:val="28"/>
          <w:szCs w:val="28"/>
          <w:lang w:val="en-US" w:eastAsia="zh-CN"/>
        </w:rPr>
        <w:t>3.</w:t>
      </w:r>
      <w:r>
        <w:rPr>
          <w:rFonts w:hint="eastAsia" w:ascii="仿宋" w:hAnsi="仿宋" w:eastAsia="仿宋" w:cs="仿宋"/>
          <w:b/>
          <w:bCs/>
          <w:iCs/>
          <w:color w:val="auto"/>
          <w:sz w:val="28"/>
          <w:szCs w:val="28"/>
        </w:rPr>
        <w:t>1策略描述</w:t>
      </w:r>
      <w:bookmarkEnd w:id="22"/>
      <w:bookmarkEnd w:id="23"/>
      <w:bookmarkEnd w:id="24"/>
    </w:p>
    <w:p>
      <w:pPr>
        <w:keepNext w:val="0"/>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本公司</w:t>
      </w:r>
      <w:r>
        <w:rPr>
          <w:rFonts w:hint="eastAsia" w:ascii="仿宋" w:hAnsi="仿宋" w:eastAsia="仿宋" w:cs="仿宋"/>
          <w:color w:val="auto"/>
          <w:sz w:val="28"/>
          <w:szCs w:val="28"/>
          <w:lang w:val="en-US" w:eastAsia="zh-CN"/>
        </w:rPr>
        <w:t>污染物清除作业方案</w:t>
      </w:r>
      <w:r>
        <w:rPr>
          <w:rFonts w:hint="eastAsia" w:ascii="仿宋" w:hAnsi="仿宋" w:eastAsia="仿宋" w:cs="仿宋"/>
          <w:color w:val="auto"/>
          <w:sz w:val="28"/>
          <w:szCs w:val="28"/>
        </w:rPr>
        <w:t>总体</w:t>
      </w:r>
      <w:r>
        <w:rPr>
          <w:rFonts w:hint="eastAsia" w:ascii="仿宋" w:hAnsi="仿宋" w:eastAsia="仿宋" w:cs="仿宋"/>
          <w:color w:val="auto"/>
          <w:sz w:val="28"/>
          <w:szCs w:val="28"/>
          <w:lang w:eastAsia="zh-CN"/>
        </w:rPr>
        <w:t>应急</w:t>
      </w:r>
      <w:r>
        <w:rPr>
          <w:rFonts w:hint="eastAsia" w:ascii="仿宋" w:hAnsi="仿宋" w:eastAsia="仿宋" w:cs="仿宋"/>
          <w:color w:val="auto"/>
          <w:sz w:val="28"/>
          <w:szCs w:val="28"/>
        </w:rPr>
        <w:t>策略为：</w:t>
      </w:r>
    </w:p>
    <w:p>
      <w:pPr>
        <w:keepNext w:val="0"/>
        <w:keepLines w:val="0"/>
        <w:pageBreakBefore w:val="0"/>
        <w:widowControl/>
        <w:kinsoku/>
        <w:wordWrap/>
        <w:overflowPunct/>
        <w:topLinePunct w:val="0"/>
        <w:autoSpaceDE/>
        <w:autoSpaceDN/>
        <w:bidi w:val="0"/>
        <w:adjustRightInd/>
        <w:snapToGrid/>
        <w:spacing w:line="360" w:lineRule="auto"/>
        <w:jc w:val="center"/>
        <w:textAlignment w:val="auto"/>
        <w:rPr>
          <w:rFonts w:hint="eastAsia" w:ascii="仿宋" w:hAnsi="仿宋" w:eastAsia="仿宋" w:cs="仿宋"/>
          <w:b/>
          <w:bCs/>
          <w:color w:val="auto"/>
          <w:sz w:val="28"/>
          <w:szCs w:val="28"/>
        </w:rPr>
      </w:pPr>
      <w:r>
        <w:rPr>
          <w:rFonts w:hint="eastAsia" w:ascii="仿宋" w:hAnsi="仿宋" w:eastAsia="仿宋" w:cs="仿宋"/>
          <w:b/>
          <w:bCs/>
          <w:color w:val="auto"/>
          <w:sz w:val="28"/>
          <w:szCs w:val="28"/>
        </w:rPr>
        <w:t>安全第一</w:t>
      </w:r>
      <w:r>
        <w:rPr>
          <w:rFonts w:hint="eastAsia" w:ascii="仿宋" w:hAnsi="仿宋" w:eastAsia="仿宋" w:cs="仿宋"/>
          <w:b/>
          <w:bCs/>
          <w:color w:val="auto"/>
          <w:sz w:val="28"/>
          <w:szCs w:val="28"/>
          <w:lang w:eastAsia="zh-CN"/>
        </w:rPr>
        <w:t>、</w:t>
      </w:r>
      <w:r>
        <w:rPr>
          <w:rFonts w:hint="eastAsia" w:ascii="仿宋" w:hAnsi="仿宋" w:eastAsia="仿宋" w:cs="仿宋"/>
          <w:b/>
          <w:bCs/>
          <w:color w:val="auto"/>
          <w:sz w:val="28"/>
          <w:szCs w:val="28"/>
        </w:rPr>
        <w:t>全天候待命、应急迅速、</w:t>
      </w:r>
      <w:r>
        <w:rPr>
          <w:rFonts w:hint="eastAsia" w:ascii="仿宋" w:hAnsi="仿宋" w:eastAsia="仿宋" w:cs="仿宋"/>
          <w:b/>
          <w:bCs/>
          <w:color w:val="auto"/>
          <w:sz w:val="28"/>
          <w:szCs w:val="28"/>
          <w:lang w:eastAsia="zh-CN"/>
        </w:rPr>
        <w:t>有效清污、防止二次污染</w:t>
      </w:r>
      <w:r>
        <w:rPr>
          <w:rFonts w:hint="eastAsia" w:ascii="仿宋" w:hAnsi="仿宋" w:eastAsia="仿宋" w:cs="仿宋"/>
          <w:b/>
          <w:bCs/>
          <w:color w:val="auto"/>
          <w:sz w:val="28"/>
          <w:szCs w:val="28"/>
        </w:rPr>
        <w:t>。</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200" w:right="0" w:rightChars="0" w:firstLine="281" w:firstLineChars="100"/>
        <w:textAlignment w:val="auto"/>
        <w:rPr>
          <w:rFonts w:hint="eastAsia" w:ascii="仿宋" w:hAnsi="仿宋" w:eastAsia="仿宋" w:cs="仿宋"/>
          <w:b/>
          <w:bCs/>
          <w:color w:val="auto"/>
          <w:sz w:val="28"/>
          <w:szCs w:val="28"/>
          <w:lang w:eastAsia="zh-CN"/>
        </w:rPr>
      </w:pPr>
      <w:r>
        <w:rPr>
          <w:rFonts w:hint="eastAsia" w:ascii="仿宋" w:hAnsi="仿宋" w:eastAsia="仿宋" w:cs="仿宋"/>
          <w:b/>
          <w:bCs/>
          <w:color w:val="auto"/>
          <w:sz w:val="28"/>
          <w:szCs w:val="28"/>
          <w:lang w:val="en-US" w:eastAsia="zh-CN"/>
        </w:rPr>
        <w:t>3.1.1</w:t>
      </w:r>
      <w:r>
        <w:rPr>
          <w:rFonts w:hint="eastAsia" w:ascii="仿宋" w:hAnsi="仿宋" w:eastAsia="仿宋" w:cs="仿宋"/>
          <w:b/>
          <w:bCs/>
          <w:color w:val="auto"/>
          <w:sz w:val="28"/>
          <w:szCs w:val="28"/>
          <w:lang w:eastAsia="zh-CN"/>
        </w:rPr>
        <w:t>安全第一</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textAlignment w:val="auto"/>
        <w:rPr>
          <w:rFonts w:hint="default" w:ascii="仿宋" w:hAnsi="仿宋" w:eastAsia="仿宋" w:cs="仿宋"/>
          <w:b/>
          <w:bCs/>
          <w:color w:val="auto"/>
          <w:sz w:val="28"/>
          <w:szCs w:val="28"/>
          <w:lang w:val="en-US" w:eastAsia="zh-CN"/>
        </w:rPr>
      </w:pPr>
      <w:r>
        <w:rPr>
          <w:rFonts w:hint="eastAsia" w:ascii="仿宋" w:hAnsi="仿宋" w:eastAsia="仿宋" w:cs="仿宋"/>
          <w:color w:val="auto"/>
          <w:sz w:val="28"/>
          <w:szCs w:val="28"/>
          <w:lang w:val="en-US" w:eastAsia="zh-CN"/>
        </w:rPr>
        <w:t>本公司是专业船舶污染物清除单位，在污染物清除作业中“安全第一，预防为主”的工作方针贯穿于始终。</w:t>
      </w:r>
      <w:r>
        <w:rPr>
          <w:rFonts w:hint="eastAsia" w:ascii="仿宋" w:hAnsi="仿宋" w:eastAsia="仿宋" w:cs="仿宋"/>
          <w:color w:val="auto"/>
          <w:sz w:val="28"/>
          <w:szCs w:val="28"/>
          <w:lang w:eastAsia="zh-CN"/>
        </w:rPr>
        <w:t>首先</w:t>
      </w:r>
      <w:r>
        <w:rPr>
          <w:rFonts w:hint="eastAsia" w:ascii="仿宋" w:hAnsi="仿宋" w:eastAsia="仿宋" w:cs="仿宋"/>
          <w:color w:val="auto"/>
          <w:sz w:val="28"/>
          <w:szCs w:val="28"/>
          <w:lang w:val="en-US" w:eastAsia="zh-CN"/>
        </w:rPr>
        <w:t>，</w:t>
      </w:r>
      <w:r>
        <w:rPr>
          <w:rFonts w:hint="eastAsia" w:ascii="仿宋" w:hAnsi="仿宋" w:eastAsia="仿宋" w:cs="仿宋"/>
          <w:color w:val="auto"/>
          <w:sz w:val="28"/>
          <w:szCs w:val="28"/>
        </w:rPr>
        <w:t>油类物质及其炼制品具有易燃、易爆的危险性，同时还有毒性，保障作业人员的安全是第一要务</w:t>
      </w:r>
      <w:r>
        <w:rPr>
          <w:rFonts w:hint="eastAsia" w:ascii="仿宋" w:hAnsi="仿宋" w:eastAsia="仿宋" w:cs="仿宋"/>
          <w:color w:val="auto"/>
          <w:sz w:val="28"/>
          <w:szCs w:val="28"/>
          <w:lang w:eastAsia="zh-CN"/>
        </w:rPr>
        <w:t>，所以在作业中要采取各项安全措施和坚持安全操作，在做好应急清污工作的同时，保障生命和财产安全。</w:t>
      </w:r>
    </w:p>
    <w:p>
      <w:pPr>
        <w:keepNext w:val="0"/>
        <w:keepLines w:val="0"/>
        <w:pageBreakBefore w:val="0"/>
        <w:widowControl/>
        <w:kinsoku/>
        <w:wordWrap/>
        <w:overflowPunct/>
        <w:topLinePunct w:val="0"/>
        <w:autoSpaceDE/>
        <w:autoSpaceDN/>
        <w:bidi w:val="0"/>
        <w:adjustRightInd/>
        <w:snapToGrid/>
        <w:spacing w:line="360" w:lineRule="auto"/>
        <w:ind w:firstLine="554" w:firstLineChars="197"/>
        <w:textAlignment w:val="auto"/>
        <w:rPr>
          <w:rFonts w:hint="eastAsia" w:ascii="仿宋" w:hAnsi="仿宋" w:eastAsia="仿宋" w:cs="仿宋"/>
          <w:b/>
          <w:bCs/>
          <w:color w:val="auto"/>
          <w:sz w:val="28"/>
          <w:szCs w:val="28"/>
          <w:lang w:eastAsia="zh-CN"/>
        </w:rPr>
      </w:pPr>
      <w:r>
        <w:rPr>
          <w:rFonts w:hint="eastAsia" w:ascii="仿宋" w:hAnsi="仿宋" w:eastAsia="仿宋" w:cs="仿宋"/>
          <w:b/>
          <w:bCs/>
          <w:color w:val="auto"/>
          <w:sz w:val="28"/>
          <w:szCs w:val="28"/>
          <w:lang w:val="en-US" w:eastAsia="zh-CN"/>
        </w:rPr>
        <w:t>3.1.2</w:t>
      </w:r>
      <w:r>
        <w:rPr>
          <w:rFonts w:hint="eastAsia" w:ascii="仿宋" w:hAnsi="仿宋" w:eastAsia="仿宋" w:cs="仿宋"/>
          <w:b/>
          <w:bCs/>
          <w:color w:val="auto"/>
          <w:sz w:val="28"/>
          <w:szCs w:val="28"/>
        </w:rPr>
        <w:t>全天候待命</w:t>
      </w:r>
    </w:p>
    <w:p>
      <w:pPr>
        <w:spacing w:line="360" w:lineRule="auto"/>
        <w:ind w:firstLine="560" w:firstLineChars="200"/>
        <w:rPr>
          <w:rFonts w:hint="eastAsia" w:ascii="仿宋" w:hAnsi="仿宋" w:eastAsia="仿宋" w:cs="仿宋"/>
          <w:color w:val="auto"/>
          <w:sz w:val="28"/>
          <w:szCs w:val="28"/>
          <w:lang w:eastAsia="zh-CN"/>
        </w:rPr>
      </w:pPr>
      <w:r>
        <w:rPr>
          <w:rFonts w:hint="eastAsia" w:ascii="仿宋" w:hAnsi="仿宋" w:eastAsia="仿宋" w:cs="仿宋"/>
          <w:color w:val="auto"/>
          <w:sz w:val="28"/>
          <w:szCs w:val="28"/>
          <w:lang w:eastAsia="zh-CN"/>
        </w:rPr>
        <w:t>公司建立</w:t>
      </w:r>
      <w:r>
        <w:rPr>
          <w:rFonts w:hint="eastAsia" w:ascii="仿宋" w:hAnsi="仿宋" w:eastAsia="仿宋" w:cs="仿宋"/>
          <w:color w:val="auto"/>
          <w:sz w:val="28"/>
          <w:szCs w:val="28"/>
          <w:lang w:val="en-US" w:eastAsia="zh-CN"/>
        </w:rPr>
        <w:t>24小时值班制度，建立了完备的应急响应预案，确保</w:t>
      </w:r>
      <w:r>
        <w:rPr>
          <w:rFonts w:hint="eastAsia" w:ascii="仿宋" w:hAnsi="仿宋" w:eastAsia="仿宋" w:cs="仿宋"/>
          <w:color w:val="auto"/>
          <w:sz w:val="28"/>
          <w:szCs w:val="28"/>
        </w:rPr>
        <w:t>在污染事故后最快时间到达现场进行紧急处置</w:t>
      </w:r>
      <w:r>
        <w:rPr>
          <w:rFonts w:hint="eastAsia" w:ascii="仿宋" w:hAnsi="仿宋" w:eastAsia="仿宋" w:cs="仿宋"/>
          <w:color w:val="auto"/>
          <w:sz w:val="28"/>
          <w:szCs w:val="28"/>
          <w:lang w:val="en-US" w:eastAsia="zh-CN"/>
        </w:rPr>
        <w:t>。</w:t>
      </w:r>
      <w:r>
        <w:rPr>
          <w:rFonts w:hint="eastAsia" w:ascii="仿宋" w:hAnsi="仿宋" w:eastAsia="仿宋" w:cs="仿宋"/>
          <w:color w:val="auto"/>
          <w:sz w:val="28"/>
          <w:szCs w:val="28"/>
        </w:rPr>
        <w:t>由</w:t>
      </w:r>
      <w:r>
        <w:rPr>
          <w:rFonts w:hint="eastAsia" w:ascii="仿宋" w:hAnsi="仿宋" w:eastAsia="仿宋" w:cs="仿宋"/>
          <w:color w:val="auto"/>
          <w:sz w:val="28"/>
          <w:szCs w:val="28"/>
          <w:lang w:val="en-US" w:eastAsia="zh-CN"/>
        </w:rPr>
        <w:t>应急作业部</w:t>
      </w:r>
      <w:r>
        <w:rPr>
          <w:rFonts w:hint="eastAsia" w:ascii="仿宋" w:hAnsi="仿宋" w:eastAsia="仿宋" w:cs="仿宋"/>
          <w:color w:val="auto"/>
          <w:sz w:val="28"/>
          <w:szCs w:val="28"/>
        </w:rPr>
        <w:t>负责值班，时刻准备进行船舶污染事故的清除作业</w:t>
      </w:r>
      <w:r>
        <w:rPr>
          <w:rFonts w:hint="eastAsia" w:ascii="仿宋" w:hAnsi="仿宋" w:eastAsia="仿宋" w:cs="仿宋"/>
          <w:color w:val="auto"/>
          <w:sz w:val="28"/>
          <w:szCs w:val="28"/>
          <w:lang w:eastAsia="zh-CN"/>
        </w:rPr>
        <w:t>，做到全天候待命。</w:t>
      </w:r>
    </w:p>
    <w:p>
      <w:pPr>
        <w:keepLines w:val="0"/>
        <w:pageBreakBefore w:val="0"/>
        <w:widowControl/>
        <w:kinsoku/>
        <w:wordWrap/>
        <w:overflowPunct/>
        <w:topLinePunct w:val="0"/>
        <w:autoSpaceDE/>
        <w:autoSpaceDN/>
        <w:bidi w:val="0"/>
        <w:adjustRightInd/>
        <w:snapToGrid/>
        <w:spacing w:line="360" w:lineRule="auto"/>
        <w:ind w:firstLine="554" w:firstLineChars="197"/>
        <w:textAlignment w:val="auto"/>
        <w:rPr>
          <w:rFonts w:hint="eastAsia" w:ascii="仿宋" w:hAnsi="仿宋" w:eastAsia="仿宋" w:cs="仿宋"/>
          <w:b/>
          <w:bCs/>
          <w:color w:val="auto"/>
          <w:sz w:val="28"/>
          <w:szCs w:val="28"/>
          <w:lang w:eastAsia="zh-CN"/>
        </w:rPr>
      </w:pPr>
      <w:r>
        <w:rPr>
          <w:rFonts w:hint="eastAsia" w:ascii="仿宋" w:hAnsi="仿宋" w:eastAsia="仿宋" w:cs="仿宋"/>
          <w:b/>
          <w:bCs/>
          <w:color w:val="auto"/>
          <w:sz w:val="28"/>
          <w:szCs w:val="28"/>
          <w:lang w:val="en-US" w:eastAsia="zh-CN"/>
        </w:rPr>
        <w:t>3.1.3</w:t>
      </w:r>
      <w:r>
        <w:rPr>
          <w:rFonts w:hint="eastAsia" w:ascii="仿宋" w:hAnsi="仿宋" w:eastAsia="仿宋" w:cs="仿宋"/>
          <w:b/>
          <w:bCs/>
          <w:color w:val="auto"/>
          <w:sz w:val="28"/>
          <w:szCs w:val="28"/>
        </w:rPr>
        <w:t>应急迅速</w:t>
      </w:r>
    </w:p>
    <w:p>
      <w:pPr>
        <w:keepLines w:val="0"/>
        <w:pageBreakBefore w:val="0"/>
        <w:widowControl/>
        <w:kinsoku/>
        <w:wordWrap/>
        <w:overflowPunct/>
        <w:topLinePunct w:val="0"/>
        <w:autoSpaceDE/>
        <w:autoSpaceDN/>
        <w:bidi w:val="0"/>
        <w:adjustRightInd/>
        <w:snapToGrid/>
        <w:spacing w:line="360" w:lineRule="auto"/>
        <w:ind w:firstLine="551" w:firstLineChars="197"/>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船舶污染事故是突发性环境污染事故，任何堵漏、围控及污染清除应急行动，应急反应时效性</w:t>
      </w:r>
      <w:r>
        <w:rPr>
          <w:rFonts w:hint="eastAsia" w:ascii="仿宋" w:hAnsi="仿宋" w:eastAsia="仿宋" w:cs="仿宋"/>
          <w:color w:val="auto"/>
          <w:sz w:val="28"/>
          <w:szCs w:val="28"/>
          <w:lang w:val="en-US" w:eastAsia="zh-CN"/>
        </w:rPr>
        <w:t>是</w:t>
      </w:r>
      <w:r>
        <w:rPr>
          <w:rFonts w:hint="eastAsia" w:ascii="仿宋" w:hAnsi="仿宋" w:eastAsia="仿宋" w:cs="仿宋"/>
          <w:color w:val="auto"/>
          <w:sz w:val="28"/>
          <w:szCs w:val="28"/>
        </w:rPr>
        <w:t>衡量公司应急清污能力的重要指标，公司的应急处置船在24小时待命的前提下，接到签订污染清除协议的船舶经营人的应急清污通知</w:t>
      </w:r>
      <w:r>
        <w:rPr>
          <w:rFonts w:hint="eastAsia" w:ascii="仿宋" w:hAnsi="仿宋" w:eastAsia="仿宋" w:cs="仿宋"/>
          <w:color w:val="auto"/>
          <w:sz w:val="28"/>
          <w:szCs w:val="28"/>
          <w:lang w:val="en-US" w:eastAsia="zh-CN"/>
        </w:rPr>
        <w:t>、发现</w:t>
      </w:r>
      <w:r>
        <w:rPr>
          <w:rFonts w:hint="eastAsia" w:ascii="仿宋" w:hAnsi="仿宋" w:eastAsia="仿宋" w:cs="仿宋"/>
          <w:color w:val="auto"/>
          <w:sz w:val="28"/>
          <w:szCs w:val="28"/>
        </w:rPr>
        <w:t>服务区域内船舶或其有关活动造成或可能造成海洋环境污染</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接到</w:t>
      </w:r>
      <w:r>
        <w:rPr>
          <w:rFonts w:hint="eastAsia" w:ascii="仿宋" w:hAnsi="仿宋" w:eastAsia="仿宋" w:cs="仿宋"/>
          <w:color w:val="auto"/>
          <w:sz w:val="28"/>
          <w:szCs w:val="28"/>
        </w:rPr>
        <w:t>当地海事管理机构的应急清污指令，将立即</w:t>
      </w:r>
      <w:r>
        <w:rPr>
          <w:rFonts w:hint="eastAsia" w:ascii="仿宋" w:hAnsi="仿宋" w:eastAsia="仿宋" w:cs="仿宋"/>
          <w:color w:val="auto"/>
          <w:sz w:val="28"/>
          <w:szCs w:val="28"/>
          <w:lang w:val="en-US" w:eastAsia="zh-CN"/>
        </w:rPr>
        <w:t>启动公司《应急预案》</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调集清污应急力量第一时间</w:t>
      </w:r>
      <w:r>
        <w:rPr>
          <w:rFonts w:hint="eastAsia" w:ascii="仿宋" w:hAnsi="仿宋" w:eastAsia="仿宋" w:cs="仿宋"/>
          <w:color w:val="auto"/>
          <w:sz w:val="28"/>
          <w:szCs w:val="28"/>
        </w:rPr>
        <w:t>到达事故现场。</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2" w:firstLineChars="200"/>
        <w:textAlignment w:val="auto"/>
        <w:rPr>
          <w:rFonts w:hint="eastAsia" w:ascii="仿宋" w:hAnsi="仿宋" w:eastAsia="仿宋" w:cs="仿宋"/>
          <w:b/>
          <w:bCs/>
          <w:color w:val="auto"/>
          <w:sz w:val="28"/>
          <w:szCs w:val="28"/>
          <w:lang w:eastAsia="zh-CN"/>
        </w:rPr>
      </w:pPr>
      <w:r>
        <w:rPr>
          <w:rFonts w:hint="eastAsia" w:ascii="仿宋" w:hAnsi="仿宋" w:eastAsia="仿宋" w:cs="仿宋"/>
          <w:b/>
          <w:bCs/>
          <w:color w:val="auto"/>
          <w:sz w:val="28"/>
          <w:szCs w:val="28"/>
          <w:lang w:val="en-US" w:eastAsia="zh-CN"/>
        </w:rPr>
        <w:t>3.1.4</w:t>
      </w:r>
      <w:r>
        <w:rPr>
          <w:rFonts w:hint="eastAsia" w:ascii="仿宋" w:hAnsi="仿宋" w:eastAsia="仿宋" w:cs="仿宋"/>
          <w:b/>
          <w:bCs/>
          <w:color w:val="auto"/>
          <w:sz w:val="28"/>
          <w:szCs w:val="28"/>
          <w:lang w:eastAsia="zh-CN"/>
        </w:rPr>
        <w:t>有效清污</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船舶污染事故的源头是船舶，公司清污</w:t>
      </w:r>
      <w:r>
        <w:rPr>
          <w:rFonts w:hint="eastAsia" w:ascii="仿宋" w:hAnsi="仿宋" w:eastAsia="仿宋" w:cs="仿宋"/>
          <w:color w:val="auto"/>
          <w:sz w:val="28"/>
          <w:szCs w:val="28"/>
          <w:lang w:eastAsia="zh-CN"/>
        </w:rPr>
        <w:t>应急</w:t>
      </w:r>
      <w:r>
        <w:rPr>
          <w:rFonts w:hint="eastAsia" w:ascii="仿宋" w:hAnsi="仿宋" w:eastAsia="仿宋" w:cs="仿宋"/>
          <w:color w:val="auto"/>
          <w:sz w:val="28"/>
          <w:szCs w:val="28"/>
        </w:rPr>
        <w:t>力量到达现场后，首先从源头上控制污染事故，采取应急堵漏和围控措施，防止污染事故扩大化。</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2" w:firstLineChars="200"/>
        <w:textAlignment w:val="auto"/>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3.1.5</w:t>
      </w:r>
      <w:r>
        <w:rPr>
          <w:rFonts w:hint="eastAsia" w:ascii="仿宋" w:hAnsi="仿宋" w:eastAsia="仿宋" w:cs="仿宋"/>
          <w:b/>
          <w:bCs/>
          <w:color w:val="auto"/>
          <w:sz w:val="28"/>
          <w:szCs w:val="28"/>
          <w:lang w:eastAsia="zh-CN"/>
        </w:rPr>
        <w:t>防止二次污染</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eastAsia="zh-CN"/>
        </w:rPr>
        <w:t>船舶</w:t>
      </w:r>
      <w:r>
        <w:rPr>
          <w:rFonts w:hint="eastAsia" w:ascii="仿宋" w:hAnsi="仿宋" w:eastAsia="仿宋" w:cs="仿宋"/>
          <w:color w:val="auto"/>
          <w:sz w:val="28"/>
          <w:szCs w:val="28"/>
        </w:rPr>
        <w:t>污染</w:t>
      </w:r>
      <w:r>
        <w:rPr>
          <w:rFonts w:hint="eastAsia" w:ascii="仿宋" w:hAnsi="仿宋" w:eastAsia="仿宋" w:cs="仿宋"/>
          <w:color w:val="auto"/>
          <w:sz w:val="28"/>
          <w:szCs w:val="28"/>
          <w:lang w:eastAsia="zh-CN"/>
        </w:rPr>
        <w:t>物</w:t>
      </w:r>
      <w:r>
        <w:rPr>
          <w:rFonts w:hint="eastAsia" w:ascii="仿宋" w:hAnsi="仿宋" w:eastAsia="仿宋" w:cs="仿宋"/>
          <w:color w:val="auto"/>
          <w:sz w:val="28"/>
          <w:szCs w:val="28"/>
        </w:rPr>
        <w:t>清除作业的目的</w:t>
      </w:r>
      <w:r>
        <w:rPr>
          <w:rFonts w:hint="eastAsia" w:ascii="仿宋" w:hAnsi="仿宋" w:eastAsia="仿宋" w:cs="仿宋"/>
          <w:color w:val="auto"/>
          <w:sz w:val="28"/>
          <w:szCs w:val="28"/>
          <w:lang w:eastAsia="zh-CN"/>
        </w:rPr>
        <w:t>就</w:t>
      </w:r>
      <w:r>
        <w:rPr>
          <w:rFonts w:hint="eastAsia" w:ascii="仿宋" w:hAnsi="仿宋" w:eastAsia="仿宋" w:cs="仿宋"/>
          <w:color w:val="auto"/>
          <w:sz w:val="28"/>
          <w:szCs w:val="28"/>
        </w:rPr>
        <w:t>是为了减少</w:t>
      </w:r>
      <w:r>
        <w:rPr>
          <w:rFonts w:hint="eastAsia" w:ascii="仿宋" w:hAnsi="仿宋" w:eastAsia="仿宋" w:cs="仿宋"/>
          <w:color w:val="auto"/>
          <w:sz w:val="28"/>
          <w:szCs w:val="28"/>
          <w:lang w:val="en-US" w:eastAsia="zh-CN"/>
        </w:rPr>
        <w:t>污染物</w:t>
      </w:r>
      <w:r>
        <w:rPr>
          <w:rFonts w:hint="eastAsia" w:ascii="仿宋" w:hAnsi="仿宋" w:eastAsia="仿宋" w:cs="仿宋"/>
          <w:color w:val="auto"/>
          <w:sz w:val="28"/>
          <w:szCs w:val="28"/>
        </w:rPr>
        <w:t>对环境的污染危害，</w:t>
      </w:r>
      <w:r>
        <w:rPr>
          <w:rFonts w:hint="eastAsia" w:ascii="仿宋" w:hAnsi="仿宋" w:eastAsia="仿宋" w:cs="仿宋"/>
          <w:color w:val="auto"/>
          <w:sz w:val="28"/>
          <w:szCs w:val="28"/>
          <w:lang w:eastAsia="zh-CN"/>
        </w:rPr>
        <w:t>在船舶污染物清除作业和</w:t>
      </w:r>
      <w:r>
        <w:rPr>
          <w:rFonts w:hint="eastAsia" w:ascii="仿宋" w:hAnsi="仿宋" w:eastAsia="仿宋" w:cs="仿宋"/>
          <w:color w:val="auto"/>
          <w:sz w:val="28"/>
          <w:szCs w:val="28"/>
        </w:rPr>
        <w:t>转运处理过程中</w:t>
      </w:r>
      <w:r>
        <w:rPr>
          <w:rFonts w:hint="eastAsia" w:ascii="仿宋" w:hAnsi="仿宋" w:eastAsia="仿宋" w:cs="仿宋"/>
          <w:color w:val="auto"/>
          <w:sz w:val="28"/>
          <w:szCs w:val="28"/>
          <w:lang w:eastAsia="zh-CN"/>
        </w:rPr>
        <w:t>要采取各项措施和规范操作，防止</w:t>
      </w:r>
      <w:r>
        <w:rPr>
          <w:rFonts w:hint="eastAsia" w:ascii="仿宋" w:hAnsi="仿宋" w:eastAsia="仿宋" w:cs="仿宋"/>
          <w:color w:val="auto"/>
          <w:sz w:val="28"/>
          <w:szCs w:val="28"/>
        </w:rPr>
        <w:t>二次污染</w:t>
      </w:r>
      <w:r>
        <w:rPr>
          <w:rFonts w:hint="eastAsia" w:ascii="仿宋" w:hAnsi="仿宋" w:eastAsia="仿宋" w:cs="仿宋"/>
          <w:color w:val="auto"/>
          <w:sz w:val="28"/>
          <w:szCs w:val="28"/>
          <w:lang w:eastAsia="zh-CN"/>
        </w:rPr>
        <w:t>的发生</w:t>
      </w:r>
      <w:r>
        <w:rPr>
          <w:rFonts w:hint="eastAsia" w:ascii="仿宋" w:hAnsi="仿宋" w:eastAsia="仿宋" w:cs="仿宋"/>
          <w:color w:val="auto"/>
          <w:sz w:val="28"/>
          <w:szCs w:val="28"/>
        </w:rPr>
        <w:t>。因此，防</w:t>
      </w:r>
      <w:r>
        <w:rPr>
          <w:rFonts w:hint="eastAsia" w:ascii="仿宋" w:hAnsi="仿宋" w:eastAsia="仿宋" w:cs="仿宋"/>
          <w:color w:val="auto"/>
          <w:sz w:val="28"/>
          <w:szCs w:val="28"/>
          <w:lang w:eastAsia="zh-CN"/>
        </w:rPr>
        <w:t>止二次</w:t>
      </w:r>
      <w:r>
        <w:rPr>
          <w:rFonts w:hint="eastAsia" w:ascii="仿宋" w:hAnsi="仿宋" w:eastAsia="仿宋" w:cs="仿宋"/>
          <w:color w:val="auto"/>
          <w:sz w:val="28"/>
          <w:szCs w:val="28"/>
        </w:rPr>
        <w:t>污染贯彻本公司整个</w:t>
      </w:r>
      <w:r>
        <w:rPr>
          <w:rFonts w:hint="eastAsia" w:ascii="仿宋" w:hAnsi="仿宋" w:eastAsia="仿宋" w:cs="仿宋"/>
          <w:color w:val="auto"/>
          <w:sz w:val="28"/>
          <w:szCs w:val="28"/>
          <w:lang w:val="en-US" w:eastAsia="zh-CN"/>
        </w:rPr>
        <w:t>污染物清除</w:t>
      </w:r>
      <w:r>
        <w:rPr>
          <w:rFonts w:hint="eastAsia" w:ascii="仿宋" w:hAnsi="仿宋" w:eastAsia="仿宋" w:cs="仿宋"/>
          <w:color w:val="auto"/>
          <w:sz w:val="28"/>
          <w:szCs w:val="28"/>
        </w:rPr>
        <w:t>应急作业全过程。</w:t>
      </w:r>
      <w:bookmarkStart w:id="25" w:name="_Toc10777"/>
      <w:bookmarkStart w:id="26" w:name="_Toc10094"/>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2" w:firstLineChars="200"/>
        <w:textAlignment w:val="auto"/>
        <w:outlineLvl w:val="1"/>
        <w:rPr>
          <w:rFonts w:hint="eastAsia" w:ascii="仿宋" w:hAnsi="仿宋" w:eastAsia="仿宋" w:cs="仿宋"/>
          <w:b/>
          <w:bCs/>
          <w:iCs/>
          <w:color w:val="auto"/>
          <w:sz w:val="28"/>
          <w:szCs w:val="28"/>
        </w:rPr>
      </w:pPr>
      <w:bookmarkStart w:id="27" w:name="_Toc28812"/>
      <w:r>
        <w:rPr>
          <w:rFonts w:hint="eastAsia" w:ascii="仿宋" w:hAnsi="仿宋" w:eastAsia="仿宋" w:cs="仿宋"/>
          <w:b/>
          <w:bCs/>
          <w:iCs/>
          <w:color w:val="auto"/>
          <w:sz w:val="28"/>
          <w:szCs w:val="28"/>
          <w:lang w:val="en-US" w:eastAsia="zh-CN"/>
        </w:rPr>
        <w:t>3</w:t>
      </w:r>
      <w:r>
        <w:rPr>
          <w:rFonts w:hint="eastAsia" w:ascii="仿宋" w:hAnsi="仿宋" w:eastAsia="仿宋" w:cs="仿宋"/>
          <w:b/>
          <w:bCs/>
          <w:iCs/>
          <w:color w:val="auto"/>
          <w:sz w:val="28"/>
          <w:szCs w:val="28"/>
        </w:rPr>
        <w:t>.2</w:t>
      </w:r>
      <w:r>
        <w:rPr>
          <w:rFonts w:hint="eastAsia" w:ascii="仿宋" w:hAnsi="仿宋" w:eastAsia="仿宋" w:cs="仿宋"/>
          <w:b/>
          <w:bCs/>
          <w:iCs/>
          <w:color w:val="auto"/>
          <w:sz w:val="28"/>
          <w:szCs w:val="28"/>
          <w:lang w:val="en-US" w:eastAsia="zh-CN"/>
        </w:rPr>
        <w:t xml:space="preserve"> </w:t>
      </w:r>
      <w:r>
        <w:rPr>
          <w:rFonts w:hint="eastAsia" w:ascii="仿宋" w:hAnsi="仿宋" w:eastAsia="仿宋" w:cs="仿宋"/>
          <w:b/>
          <w:bCs/>
          <w:iCs/>
          <w:color w:val="auto"/>
          <w:sz w:val="28"/>
          <w:szCs w:val="28"/>
        </w:rPr>
        <w:t>应急反应程序策略</w:t>
      </w:r>
      <w:bookmarkEnd w:id="25"/>
      <w:bookmarkEnd w:id="26"/>
      <w:bookmarkEnd w:id="27"/>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3.2.1 </w:t>
      </w:r>
      <w:r>
        <w:rPr>
          <w:rFonts w:hint="eastAsia" w:ascii="仿宋" w:hAnsi="仿宋" w:eastAsia="仿宋" w:cs="仿宋"/>
          <w:color w:val="auto"/>
          <w:sz w:val="28"/>
          <w:szCs w:val="28"/>
        </w:rPr>
        <w:t>本公司在接到船方</w:t>
      </w:r>
      <w:r>
        <w:rPr>
          <w:rFonts w:hint="eastAsia" w:ascii="仿宋" w:hAnsi="仿宋" w:eastAsia="仿宋" w:cs="仿宋"/>
          <w:color w:val="auto"/>
          <w:sz w:val="28"/>
          <w:szCs w:val="28"/>
          <w:lang w:val="en-US" w:eastAsia="zh-CN"/>
        </w:rPr>
        <w:t>船舶污染</w:t>
      </w:r>
      <w:r>
        <w:rPr>
          <w:rFonts w:hint="eastAsia" w:ascii="仿宋" w:hAnsi="仿宋" w:eastAsia="仿宋" w:cs="仿宋"/>
          <w:color w:val="auto"/>
          <w:sz w:val="28"/>
          <w:szCs w:val="28"/>
        </w:rPr>
        <w:t>事故报告后</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立即启动公司《应急预案》</w:t>
      </w:r>
      <w:r>
        <w:rPr>
          <w:rFonts w:hint="eastAsia" w:ascii="仿宋" w:hAnsi="仿宋" w:eastAsia="仿宋" w:cs="仿宋"/>
          <w:color w:val="auto"/>
          <w:sz w:val="28"/>
          <w:szCs w:val="28"/>
        </w:rPr>
        <w:t>：</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rPr>
        <w:t>当天气、海况条件恶劣时，命令公司的部分或所有清污设备及人员紧急待命，并密切监视</w:t>
      </w:r>
      <w:r>
        <w:rPr>
          <w:rFonts w:hint="eastAsia" w:ascii="仿宋" w:hAnsi="仿宋" w:eastAsia="仿宋" w:cs="仿宋"/>
          <w:color w:val="auto"/>
          <w:sz w:val="28"/>
          <w:szCs w:val="28"/>
          <w:lang w:val="en-US" w:eastAsia="zh-CN"/>
        </w:rPr>
        <w:t>船舶污染</w:t>
      </w:r>
      <w:r>
        <w:rPr>
          <w:rFonts w:hint="eastAsia" w:ascii="仿宋" w:hAnsi="仿宋" w:eastAsia="仿宋" w:cs="仿宋"/>
          <w:color w:val="auto"/>
          <w:sz w:val="28"/>
          <w:szCs w:val="28"/>
        </w:rPr>
        <w:t>情况的发展。</w:t>
      </w:r>
    </w:p>
    <w:p>
      <w:pPr>
        <w:keepNext w:val="0"/>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当天气、海况条件许可时，即刻开始应急行动。</w:t>
      </w:r>
    </w:p>
    <w:p>
      <w:pPr>
        <w:keepNext w:val="0"/>
        <w:keepLines w:val="0"/>
        <w:pageBreakBefore w:val="0"/>
        <w:widowControl/>
        <w:kinsoku/>
        <w:wordWrap/>
        <w:overflowPunct/>
        <w:topLinePunct w:val="0"/>
        <w:autoSpaceDE/>
        <w:autoSpaceDN/>
        <w:bidi w:val="0"/>
        <w:adjustRightInd/>
        <w:snapToGrid/>
        <w:spacing w:line="360" w:lineRule="auto"/>
        <w:ind w:firstLine="551" w:firstLineChars="197"/>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3.2.2 </w:t>
      </w:r>
      <w:r>
        <w:rPr>
          <w:rFonts w:hint="eastAsia" w:ascii="仿宋" w:hAnsi="仿宋" w:eastAsia="仿宋" w:cs="仿宋"/>
          <w:color w:val="auto"/>
          <w:sz w:val="28"/>
          <w:szCs w:val="28"/>
        </w:rPr>
        <w:t>根据</w:t>
      </w:r>
      <w:r>
        <w:rPr>
          <w:rFonts w:hint="eastAsia" w:ascii="仿宋" w:hAnsi="仿宋" w:eastAsia="仿宋" w:cs="仿宋"/>
          <w:color w:val="auto"/>
          <w:sz w:val="28"/>
          <w:szCs w:val="28"/>
          <w:lang w:val="en-US" w:eastAsia="zh-CN"/>
        </w:rPr>
        <w:t>污染物性质及</w:t>
      </w:r>
      <w:r>
        <w:rPr>
          <w:rFonts w:hint="eastAsia" w:ascii="仿宋" w:hAnsi="仿宋" w:eastAsia="仿宋" w:cs="仿宋"/>
          <w:color w:val="auto"/>
          <w:sz w:val="28"/>
          <w:szCs w:val="28"/>
        </w:rPr>
        <w:t>规模决定清污行动的规模和设备及人员的调用。</w:t>
      </w:r>
    </w:p>
    <w:p>
      <w:pPr>
        <w:keepNext w:val="0"/>
        <w:keepLines w:val="0"/>
        <w:pageBreakBefore w:val="0"/>
        <w:widowControl/>
        <w:kinsoku/>
        <w:wordWrap/>
        <w:overflowPunct/>
        <w:topLinePunct w:val="0"/>
        <w:autoSpaceDE/>
        <w:autoSpaceDN/>
        <w:bidi w:val="0"/>
        <w:adjustRightInd/>
        <w:snapToGrid/>
        <w:spacing w:line="360" w:lineRule="auto"/>
        <w:ind w:firstLine="551" w:firstLineChars="197"/>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3.2.3</w:t>
      </w:r>
      <w:r>
        <w:rPr>
          <w:rFonts w:hint="eastAsia" w:ascii="仿宋" w:hAnsi="仿宋" w:eastAsia="仿宋" w:cs="仿宋"/>
          <w:color w:val="auto"/>
          <w:sz w:val="28"/>
          <w:szCs w:val="28"/>
        </w:rPr>
        <w:t>到达事故现场时，应根据</w:t>
      </w:r>
      <w:r>
        <w:rPr>
          <w:rFonts w:hint="eastAsia" w:ascii="仿宋" w:hAnsi="仿宋" w:eastAsia="仿宋" w:cs="仿宋"/>
          <w:color w:val="auto"/>
          <w:sz w:val="28"/>
          <w:szCs w:val="28"/>
          <w:lang w:val="en-US" w:eastAsia="zh-CN"/>
        </w:rPr>
        <w:t>污染物性质</w:t>
      </w:r>
      <w:r>
        <w:rPr>
          <w:rFonts w:hint="eastAsia" w:ascii="仿宋" w:hAnsi="仿宋" w:eastAsia="仿宋" w:cs="仿宋"/>
          <w:color w:val="auto"/>
          <w:sz w:val="28"/>
          <w:szCs w:val="28"/>
        </w:rPr>
        <w:t>和现场具体情况，采取必要的防火防爆措施，例如：将现场指挥船舶及应急船舶处在上风向，防止</w:t>
      </w:r>
      <w:r>
        <w:rPr>
          <w:rFonts w:hint="eastAsia" w:ascii="仿宋" w:hAnsi="仿宋" w:eastAsia="仿宋" w:cs="仿宋"/>
          <w:color w:val="auto"/>
          <w:sz w:val="28"/>
          <w:szCs w:val="28"/>
          <w:lang w:val="en-US" w:eastAsia="zh-CN"/>
        </w:rPr>
        <w:t>污染物</w:t>
      </w:r>
      <w:r>
        <w:rPr>
          <w:rFonts w:hint="eastAsia" w:ascii="仿宋" w:hAnsi="仿宋" w:eastAsia="仿宋" w:cs="仿宋"/>
          <w:color w:val="auto"/>
          <w:sz w:val="28"/>
          <w:szCs w:val="28"/>
        </w:rPr>
        <w:t>逸散对人员造成伤害。</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lang w:val="en-US" w:eastAsia="zh-CN"/>
        </w:rPr>
        <w:t>3.2.4</w:t>
      </w:r>
      <w:r>
        <w:rPr>
          <w:rFonts w:hint="eastAsia" w:ascii="仿宋" w:hAnsi="仿宋" w:eastAsia="仿宋" w:cs="仿宋"/>
          <w:sz w:val="28"/>
          <w:szCs w:val="28"/>
        </w:rPr>
        <w:t>按能够独立进行清污操作的最小单元形成设备及人员的合理组配，以形成高效的清污能力，具体方案见表</w:t>
      </w:r>
      <w:r>
        <w:rPr>
          <w:rFonts w:hint="eastAsia" w:ascii="仿宋" w:hAnsi="仿宋" w:eastAsia="仿宋" w:cs="仿宋"/>
          <w:sz w:val="28"/>
          <w:szCs w:val="28"/>
          <w:lang w:val="en-US" w:eastAsia="zh-CN"/>
        </w:rPr>
        <w:t>3</w:t>
      </w:r>
      <w:r>
        <w:rPr>
          <w:rFonts w:hint="eastAsia" w:ascii="仿宋" w:hAnsi="仿宋" w:eastAsia="仿宋" w:cs="仿宋"/>
          <w:sz w:val="28"/>
          <w:szCs w:val="28"/>
        </w:rPr>
        <w:t>-1。</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lang w:val="en-US" w:eastAsia="zh-CN"/>
        </w:rPr>
        <w:t>3.2.5</w:t>
      </w:r>
      <w:r>
        <w:rPr>
          <w:rFonts w:hint="eastAsia" w:ascii="仿宋" w:hAnsi="仿宋" w:eastAsia="仿宋" w:cs="仿宋"/>
          <w:sz w:val="28"/>
          <w:szCs w:val="28"/>
        </w:rPr>
        <w:t>清污工作结束后，必须将设备清洗入库，并填写设备使用记录以备索赔。</w:t>
      </w:r>
    </w:p>
    <w:p>
      <w:pPr>
        <w:spacing w:line="480" w:lineRule="exact"/>
        <w:jc w:val="center"/>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3</w:t>
      </w:r>
      <w:r>
        <w:rPr>
          <w:rFonts w:hint="eastAsia" w:ascii="仿宋" w:hAnsi="仿宋" w:eastAsia="仿宋" w:cs="仿宋"/>
          <w:b/>
          <w:color w:val="auto"/>
          <w:sz w:val="28"/>
          <w:szCs w:val="28"/>
        </w:rPr>
        <w:t>-1最小单元清污操作设备及人员组配方案</w:t>
      </w:r>
    </w:p>
    <w:tbl>
      <w:tblPr>
        <w:tblStyle w:val="13"/>
        <w:tblW w:w="8381" w:type="dxa"/>
        <w:tblInd w:w="0" w:type="dxa"/>
        <w:tblLayout w:type="autofit"/>
        <w:tblCellMar>
          <w:top w:w="0" w:type="dxa"/>
          <w:left w:w="108" w:type="dxa"/>
          <w:bottom w:w="0" w:type="dxa"/>
          <w:right w:w="108" w:type="dxa"/>
        </w:tblCellMar>
      </w:tblPr>
      <w:tblGrid>
        <w:gridCol w:w="1188"/>
        <w:gridCol w:w="4148"/>
        <w:gridCol w:w="3045"/>
      </w:tblGrid>
      <w:tr>
        <w:tblPrEx>
          <w:tblCellMar>
            <w:top w:w="0" w:type="dxa"/>
            <w:left w:w="108" w:type="dxa"/>
            <w:bottom w:w="0" w:type="dxa"/>
            <w:right w:w="108" w:type="dxa"/>
          </w:tblCellMar>
        </w:tblPrEx>
        <w:tc>
          <w:tcPr>
            <w:tcW w:w="1188" w:type="dxa"/>
            <w:vMerge w:val="restart"/>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操作类型</w:t>
            </w:r>
          </w:p>
        </w:tc>
        <w:tc>
          <w:tcPr>
            <w:tcW w:w="7193" w:type="dxa"/>
            <w:gridSpan w:val="2"/>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清污作业组配方案</w:t>
            </w:r>
          </w:p>
        </w:tc>
      </w:tr>
      <w:tr>
        <w:tblPrEx>
          <w:tblCellMar>
            <w:top w:w="0" w:type="dxa"/>
            <w:left w:w="108" w:type="dxa"/>
            <w:bottom w:w="0" w:type="dxa"/>
            <w:right w:w="108" w:type="dxa"/>
          </w:tblCellMar>
        </w:tblPrEx>
        <w:tc>
          <w:tcPr>
            <w:tcW w:w="1188" w:type="dxa"/>
            <w:vMerge w:val="continue"/>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b/>
                <w:color w:val="auto"/>
                <w:sz w:val="24"/>
                <w:szCs w:val="24"/>
              </w:rPr>
            </w:pPr>
          </w:p>
        </w:tc>
        <w:tc>
          <w:tcPr>
            <w:tcW w:w="4148" w:type="dxa"/>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设备</w:t>
            </w:r>
          </w:p>
        </w:tc>
        <w:tc>
          <w:tcPr>
            <w:tcW w:w="3045" w:type="dxa"/>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人员</w:t>
            </w:r>
          </w:p>
        </w:tc>
      </w:tr>
      <w:tr>
        <w:tblPrEx>
          <w:tblCellMar>
            <w:top w:w="0" w:type="dxa"/>
            <w:left w:w="108" w:type="dxa"/>
            <w:bottom w:w="0" w:type="dxa"/>
            <w:right w:w="108" w:type="dxa"/>
          </w:tblCellMar>
        </w:tblPrEx>
        <w:tc>
          <w:tcPr>
            <w:tcW w:w="1188" w:type="dxa"/>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收油作业</w:t>
            </w:r>
          </w:p>
        </w:tc>
        <w:tc>
          <w:tcPr>
            <w:tcW w:w="4148"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专业清污船1艘</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围油栏</w:t>
            </w:r>
            <w:r>
              <w:rPr>
                <w:rFonts w:hint="eastAsia" w:ascii="仿宋" w:hAnsi="仿宋" w:eastAsia="仿宋" w:cs="仿宋"/>
                <w:color w:val="auto"/>
                <w:sz w:val="24"/>
                <w:szCs w:val="24"/>
                <w:lang w:eastAsia="zh-CN"/>
              </w:rPr>
              <w:t>布放艇</w:t>
            </w:r>
            <w:r>
              <w:rPr>
                <w:rFonts w:hint="eastAsia" w:ascii="仿宋" w:hAnsi="仿宋" w:eastAsia="仿宋" w:cs="仿宋"/>
                <w:color w:val="auto"/>
                <w:sz w:val="24"/>
                <w:szCs w:val="24"/>
              </w:rPr>
              <w:t>2艘</w:t>
            </w:r>
          </w:p>
        </w:tc>
        <w:tc>
          <w:tcPr>
            <w:tcW w:w="3045"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专业清污船6人/艘</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围油栏布</w:t>
            </w:r>
            <w:r>
              <w:rPr>
                <w:rFonts w:hint="eastAsia" w:ascii="仿宋" w:hAnsi="仿宋" w:eastAsia="仿宋" w:cs="仿宋"/>
                <w:color w:val="auto"/>
                <w:sz w:val="24"/>
                <w:szCs w:val="24"/>
                <w:lang w:eastAsia="zh-CN"/>
              </w:rPr>
              <w:t>放艇</w:t>
            </w:r>
            <w:r>
              <w:rPr>
                <w:rFonts w:hint="eastAsia" w:ascii="仿宋" w:hAnsi="仿宋" w:eastAsia="仿宋" w:cs="仿宋"/>
                <w:color w:val="auto"/>
                <w:sz w:val="24"/>
                <w:szCs w:val="24"/>
              </w:rPr>
              <w:t>4人/艘</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其他辅助作业人员x人</w:t>
            </w:r>
          </w:p>
        </w:tc>
      </w:tr>
      <w:tr>
        <w:tblPrEx>
          <w:tblCellMar>
            <w:top w:w="0" w:type="dxa"/>
            <w:left w:w="108" w:type="dxa"/>
            <w:bottom w:w="0" w:type="dxa"/>
            <w:right w:w="108" w:type="dxa"/>
          </w:tblCellMar>
        </w:tblPrEx>
        <w:tc>
          <w:tcPr>
            <w:tcW w:w="1188" w:type="dxa"/>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吸油拖栏</w:t>
            </w:r>
          </w:p>
        </w:tc>
        <w:tc>
          <w:tcPr>
            <w:tcW w:w="4148"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吸油拖栏拖带工作船2艘</w:t>
            </w:r>
          </w:p>
          <w:p>
            <w:pPr>
              <w:widowControl w:val="0"/>
              <w:numPr>
                <w:ilvl w:val="0"/>
                <w:numId w:val="0"/>
              </w:numPr>
              <w:tabs>
                <w:tab w:val="left" w:pos="420"/>
              </w:tabs>
              <w:ind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吸油拖栏1套</w:t>
            </w:r>
          </w:p>
        </w:tc>
        <w:tc>
          <w:tcPr>
            <w:tcW w:w="3045"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工作船2人/艘</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其他辅助作业人员x人</w:t>
            </w:r>
          </w:p>
        </w:tc>
      </w:tr>
      <w:tr>
        <w:tblPrEx>
          <w:tblCellMar>
            <w:top w:w="0" w:type="dxa"/>
            <w:left w:w="108" w:type="dxa"/>
            <w:bottom w:w="0" w:type="dxa"/>
            <w:right w:w="108" w:type="dxa"/>
          </w:tblCellMar>
        </w:tblPrEx>
        <w:tc>
          <w:tcPr>
            <w:tcW w:w="1188" w:type="dxa"/>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喷洒溢油</w:t>
            </w:r>
          </w:p>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分散剂</w:t>
            </w:r>
          </w:p>
        </w:tc>
        <w:tc>
          <w:tcPr>
            <w:tcW w:w="4148"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left="720" w:leftChars="0" w:right="0" w:rightChars="0" w:hanging="720" w:hangingChars="300"/>
              <w:jc w:val="left"/>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专业清污船舶1艘或配有船携式</w:t>
            </w:r>
          </w:p>
          <w:p>
            <w:pPr>
              <w:widowControl w:val="0"/>
              <w:numPr>
                <w:ilvl w:val="0"/>
                <w:numId w:val="0"/>
              </w:numPr>
              <w:tabs>
                <w:tab w:val="left" w:pos="420"/>
              </w:tabs>
              <w:ind w:left="720" w:leftChars="218" w:right="0" w:rightChars="0" w:hanging="240" w:hangingChars="100"/>
              <w:jc w:val="left"/>
              <w:rPr>
                <w:rFonts w:hint="eastAsia" w:ascii="仿宋" w:hAnsi="仿宋" w:eastAsia="仿宋" w:cs="仿宋"/>
                <w:color w:val="auto"/>
                <w:sz w:val="24"/>
                <w:szCs w:val="24"/>
              </w:rPr>
            </w:pPr>
            <w:r>
              <w:rPr>
                <w:rFonts w:hint="eastAsia" w:ascii="仿宋" w:hAnsi="仿宋" w:eastAsia="仿宋" w:cs="仿宋"/>
                <w:color w:val="auto"/>
                <w:sz w:val="24"/>
                <w:szCs w:val="24"/>
              </w:rPr>
              <w:t>消油剂喷洒装置的辅助船舶</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消油剂若干</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消油剂喷洒装置，防护用具</w:t>
            </w:r>
          </w:p>
        </w:tc>
        <w:tc>
          <w:tcPr>
            <w:tcW w:w="3045"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船舶3人/艘</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其他辅助作业人员x人</w:t>
            </w:r>
          </w:p>
        </w:tc>
      </w:tr>
      <w:tr>
        <w:tblPrEx>
          <w:tblCellMar>
            <w:top w:w="0" w:type="dxa"/>
            <w:left w:w="108" w:type="dxa"/>
            <w:bottom w:w="0" w:type="dxa"/>
            <w:right w:w="108" w:type="dxa"/>
          </w:tblCellMar>
        </w:tblPrEx>
        <w:tc>
          <w:tcPr>
            <w:tcW w:w="1188" w:type="dxa"/>
            <w:tcBorders>
              <w:top w:val="single" w:color="000000" w:sz="4" w:space="0"/>
              <w:left w:val="single" w:color="000000" w:sz="4" w:space="0"/>
              <w:bottom w:val="single" w:color="000000" w:sz="4" w:space="0"/>
              <w:right w:val="single" w:color="000000" w:sz="4" w:space="0"/>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吸油材料吸附</w:t>
            </w:r>
          </w:p>
        </w:tc>
        <w:tc>
          <w:tcPr>
            <w:tcW w:w="4148"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辅助船舶1艘</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抛放及回收器具</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吸油材料若干</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陆上接收转运设备</w:t>
            </w:r>
          </w:p>
        </w:tc>
        <w:tc>
          <w:tcPr>
            <w:tcW w:w="3045" w:type="dxa"/>
            <w:tcBorders>
              <w:top w:val="single" w:color="000000" w:sz="4" w:space="0"/>
              <w:left w:val="single" w:color="000000" w:sz="4" w:space="0"/>
              <w:bottom w:val="single" w:color="000000" w:sz="4" w:space="0"/>
              <w:right w:val="single" w:color="000000" w:sz="4" w:space="0"/>
            </w:tcBorders>
            <w:noWrap w:val="0"/>
            <w:vAlign w:val="center"/>
          </w:tcPr>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船舶3人/艘</w:t>
            </w:r>
          </w:p>
          <w:p>
            <w:pPr>
              <w:widowControl w:val="0"/>
              <w:numPr>
                <w:ilvl w:val="0"/>
                <w:numId w:val="0"/>
              </w:numPr>
              <w:tabs>
                <w:tab w:val="left" w:pos="420"/>
              </w:tabs>
              <w:ind w:leftChars="0" w:right="0" w:rightChars="0"/>
              <w:jc w:val="both"/>
              <w:rPr>
                <w:rFonts w:hint="eastAsia" w:ascii="仿宋" w:hAnsi="仿宋" w:eastAsia="仿宋" w:cs="仿宋"/>
                <w:color w:val="auto"/>
                <w:sz w:val="24"/>
                <w:szCs w:val="24"/>
              </w:rPr>
            </w:pP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 xml:space="preserve"> </w:t>
            </w:r>
            <w:r>
              <w:rPr>
                <w:rFonts w:hint="eastAsia" w:ascii="仿宋" w:hAnsi="仿宋" w:eastAsia="仿宋" w:cs="仿宋"/>
                <w:color w:val="auto"/>
                <w:sz w:val="24"/>
                <w:szCs w:val="24"/>
              </w:rPr>
              <w:t>其他辅助作业人员x人</w:t>
            </w:r>
          </w:p>
        </w:tc>
      </w:tr>
    </w:tbl>
    <w:p>
      <w:pPr>
        <w:pStyle w:val="24"/>
        <w:keepNext/>
        <w:keepLines w:val="0"/>
        <w:pageBreakBefore w:val="0"/>
        <w:widowControl/>
        <w:kinsoku/>
        <w:wordWrap/>
        <w:overflowPunct/>
        <w:topLinePunct w:val="0"/>
        <w:autoSpaceDE/>
        <w:autoSpaceDN/>
        <w:bidi w:val="0"/>
        <w:adjustRightInd/>
        <w:snapToGrid/>
        <w:spacing w:before="164" w:beforeLines="50" w:after="164" w:afterLines="50" w:line="360" w:lineRule="auto"/>
        <w:ind w:left="0" w:leftChars="0" w:firstLine="281" w:firstLineChars="100"/>
        <w:textAlignment w:val="auto"/>
        <w:outlineLvl w:val="9"/>
        <w:rPr>
          <w:rFonts w:hint="eastAsia" w:ascii="仿宋" w:hAnsi="仿宋" w:eastAsia="仿宋" w:cs="仿宋"/>
          <w:b/>
          <w:bCs/>
          <w:iCs/>
          <w:color w:val="auto"/>
          <w:sz w:val="28"/>
          <w:szCs w:val="28"/>
          <w:lang w:val="en-US" w:eastAsia="zh-CN"/>
        </w:rPr>
      </w:pPr>
      <w:bookmarkStart w:id="28" w:name="_Toc20633"/>
      <w:bookmarkStart w:id="29" w:name="_Toc27384"/>
    </w:p>
    <w:p>
      <w:pPr>
        <w:pStyle w:val="24"/>
        <w:keepNext/>
        <w:keepLines w:val="0"/>
        <w:pageBreakBefore w:val="0"/>
        <w:widowControl/>
        <w:kinsoku/>
        <w:wordWrap/>
        <w:overflowPunct/>
        <w:topLinePunct w:val="0"/>
        <w:autoSpaceDE/>
        <w:autoSpaceDN/>
        <w:bidi w:val="0"/>
        <w:adjustRightInd/>
        <w:snapToGrid/>
        <w:spacing w:before="164" w:beforeLines="50" w:after="164" w:afterLines="50" w:line="360" w:lineRule="auto"/>
        <w:ind w:left="0" w:leftChars="0" w:firstLine="562" w:firstLineChars="200"/>
        <w:textAlignment w:val="auto"/>
        <w:outlineLvl w:val="1"/>
        <w:rPr>
          <w:rFonts w:hint="eastAsia" w:ascii="仿宋" w:hAnsi="仿宋" w:eastAsia="仿宋" w:cs="仿宋"/>
          <w:b/>
          <w:bCs/>
          <w:iCs/>
          <w:color w:val="auto"/>
          <w:sz w:val="28"/>
          <w:szCs w:val="28"/>
        </w:rPr>
      </w:pPr>
      <w:bookmarkStart w:id="30" w:name="_Toc8308"/>
      <w:r>
        <w:rPr>
          <w:rFonts w:hint="eastAsia" w:ascii="仿宋" w:hAnsi="仿宋" w:eastAsia="仿宋" w:cs="仿宋"/>
          <w:b/>
          <w:bCs/>
          <w:iCs/>
          <w:color w:val="auto"/>
          <w:sz w:val="28"/>
          <w:szCs w:val="28"/>
          <w:lang w:val="en-US" w:eastAsia="zh-CN"/>
        </w:rPr>
        <w:t>3</w:t>
      </w:r>
      <w:r>
        <w:rPr>
          <w:rFonts w:hint="eastAsia" w:ascii="仿宋" w:hAnsi="仿宋" w:eastAsia="仿宋" w:cs="仿宋"/>
          <w:b/>
          <w:bCs/>
          <w:iCs/>
          <w:color w:val="auto"/>
          <w:sz w:val="28"/>
          <w:szCs w:val="28"/>
        </w:rPr>
        <w:t>.3</w:t>
      </w:r>
      <w:r>
        <w:rPr>
          <w:rFonts w:hint="eastAsia" w:ascii="仿宋" w:hAnsi="仿宋" w:eastAsia="仿宋" w:cs="仿宋"/>
          <w:b/>
          <w:bCs/>
          <w:iCs/>
          <w:color w:val="auto"/>
          <w:sz w:val="28"/>
          <w:szCs w:val="28"/>
          <w:lang w:val="en-US" w:eastAsia="zh-CN"/>
        </w:rPr>
        <w:t xml:space="preserve"> </w:t>
      </w:r>
      <w:r>
        <w:rPr>
          <w:rFonts w:hint="eastAsia" w:ascii="仿宋" w:hAnsi="仿宋" w:eastAsia="仿宋" w:cs="仿宋"/>
          <w:b/>
          <w:bCs/>
          <w:iCs/>
          <w:color w:val="auto"/>
          <w:sz w:val="28"/>
          <w:szCs w:val="28"/>
        </w:rPr>
        <w:t>清污方案选择策略</w:t>
      </w:r>
      <w:bookmarkEnd w:id="28"/>
      <w:bookmarkEnd w:id="29"/>
      <w:bookmarkEnd w:id="30"/>
    </w:p>
    <w:p>
      <w:pPr>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本公司在进行清污作业前，将根据不同情景选择清污作业方案，包括：</w:t>
      </w:r>
    </w:p>
    <w:p>
      <w:pPr>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3.3.1 </w:t>
      </w:r>
      <w:r>
        <w:rPr>
          <w:rFonts w:hint="eastAsia" w:ascii="仿宋" w:hAnsi="仿宋" w:eastAsia="仿宋" w:cs="仿宋"/>
          <w:b/>
          <w:bCs/>
          <w:color w:val="auto"/>
          <w:sz w:val="28"/>
          <w:szCs w:val="28"/>
        </w:rPr>
        <w:t>应急堵漏、卸载</w:t>
      </w:r>
    </w:p>
    <w:p>
      <w:pPr>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即对船舶泄漏破口进行堵漏，将</w:t>
      </w:r>
      <w:r>
        <w:rPr>
          <w:rFonts w:hint="eastAsia" w:ascii="仿宋" w:hAnsi="仿宋" w:eastAsia="仿宋" w:cs="仿宋"/>
          <w:color w:val="auto"/>
          <w:sz w:val="28"/>
          <w:szCs w:val="28"/>
          <w:lang w:val="en-US" w:eastAsia="zh-CN"/>
        </w:rPr>
        <w:t>船舶内油品</w:t>
      </w:r>
      <w:r>
        <w:rPr>
          <w:rFonts w:hint="eastAsia" w:ascii="仿宋" w:hAnsi="仿宋" w:eastAsia="仿宋" w:cs="仿宋"/>
          <w:color w:val="auto"/>
          <w:sz w:val="28"/>
          <w:szCs w:val="28"/>
        </w:rPr>
        <w:t>转驳到其他船舶，阻止油品泄漏和防止事态扩大。</w:t>
      </w:r>
    </w:p>
    <w:p>
      <w:pPr>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3.3.2 </w:t>
      </w:r>
      <w:r>
        <w:rPr>
          <w:rFonts w:hint="eastAsia" w:ascii="仿宋" w:hAnsi="仿宋" w:eastAsia="仿宋" w:cs="仿宋"/>
          <w:b/>
          <w:bCs/>
          <w:color w:val="auto"/>
          <w:sz w:val="28"/>
          <w:szCs w:val="28"/>
        </w:rPr>
        <w:t>敏感资源的维护和污染清除</w:t>
      </w:r>
    </w:p>
    <w:p>
      <w:pPr>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生态自然保护区</w:t>
      </w:r>
      <w:r>
        <w:rPr>
          <w:rFonts w:hint="eastAsia" w:ascii="仿宋" w:hAnsi="仿宋" w:eastAsia="仿宋" w:cs="仿宋"/>
          <w:color w:val="auto"/>
          <w:sz w:val="28"/>
          <w:szCs w:val="28"/>
        </w:rPr>
        <w:t>、渔业捕捞和养殖水域</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工业用水取水口</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公众娱乐场所</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岸线等敏感资源，根据监视和溢油迁移扩散预测，对将受到溢油威胁的岸线及敏感资源采取保护措施，以免溢油上岸后污染岸线及敏感资源。对于已经遭受污染的敏感资源，则采取围控、回收、化学分散、冲洗等方法清除。</w:t>
      </w:r>
    </w:p>
    <w:p>
      <w:pPr>
        <w:spacing w:line="360" w:lineRule="auto"/>
        <w:ind w:firstLine="562" w:firstLineChars="200"/>
        <w:jc w:val="both"/>
        <w:rPr>
          <w:rFonts w:hint="eastAsia" w:ascii="仿宋" w:hAnsi="仿宋" w:eastAsia="仿宋" w:cs="仿宋"/>
          <w:color w:val="auto"/>
          <w:sz w:val="28"/>
          <w:szCs w:val="28"/>
        </w:rPr>
      </w:pPr>
      <w:r>
        <w:rPr>
          <w:rFonts w:hint="eastAsia" w:ascii="仿宋" w:hAnsi="仿宋" w:eastAsia="仿宋" w:cs="仿宋"/>
          <w:b/>
          <w:bCs/>
          <w:color w:val="auto"/>
          <w:sz w:val="28"/>
          <w:szCs w:val="28"/>
          <w:lang w:val="en-US" w:eastAsia="zh-CN"/>
        </w:rPr>
        <w:t xml:space="preserve">3.3.3 </w:t>
      </w:r>
      <w:r>
        <w:rPr>
          <w:rFonts w:hint="eastAsia" w:ascii="仿宋" w:hAnsi="仿宋" w:eastAsia="仿宋" w:cs="仿宋"/>
          <w:b/>
          <w:bCs/>
          <w:color w:val="auto"/>
          <w:sz w:val="28"/>
          <w:szCs w:val="28"/>
        </w:rPr>
        <w:t>海上污染物回收和清除</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采用专业清污船和辅助船舶、围油栏、收油机、溢油分散剂和吸油材料进行回收或清除。</w:t>
      </w:r>
    </w:p>
    <w:p>
      <w:pPr>
        <w:keepLines w:val="0"/>
        <w:pageBreakBefore w:val="0"/>
        <w:widowControl/>
        <w:numPr>
          <w:ilvl w:val="0"/>
          <w:numId w:val="0"/>
        </w:numPr>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3.3.4 </w:t>
      </w:r>
      <w:r>
        <w:rPr>
          <w:rFonts w:hint="eastAsia" w:ascii="仿宋" w:hAnsi="仿宋" w:eastAsia="仿宋" w:cs="仿宋"/>
          <w:b/>
          <w:bCs/>
          <w:color w:val="auto"/>
          <w:sz w:val="28"/>
          <w:szCs w:val="28"/>
        </w:rPr>
        <w:t>岸线污染物清除</w:t>
      </w:r>
    </w:p>
    <w:p>
      <w:pPr>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根据海岸线的不同类型和污染程度，采取岸线污染清除措施。</w:t>
      </w:r>
    </w:p>
    <w:p>
      <w:pPr>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在大规模的溢油事故时，通常需要采用几种方案联合反应。当遇到本公司应急力量难以独立应对的溢油事故时，本公司</w:t>
      </w:r>
      <w:r>
        <w:rPr>
          <w:rFonts w:hint="eastAsia" w:ascii="仿宋" w:hAnsi="仿宋" w:eastAsia="仿宋" w:cs="仿宋"/>
          <w:color w:val="auto"/>
          <w:sz w:val="28"/>
          <w:szCs w:val="28"/>
          <w:lang w:val="en-US" w:eastAsia="zh-CN"/>
        </w:rPr>
        <w:t>上报并</w:t>
      </w:r>
      <w:r>
        <w:rPr>
          <w:rFonts w:hint="eastAsia" w:ascii="仿宋" w:hAnsi="仿宋" w:eastAsia="仿宋" w:cs="仿宋"/>
          <w:color w:val="auto"/>
          <w:sz w:val="28"/>
          <w:szCs w:val="28"/>
        </w:rPr>
        <w:t>服从</w:t>
      </w:r>
      <w:r>
        <w:rPr>
          <w:rFonts w:hint="eastAsia" w:ascii="仿宋" w:hAnsi="仿宋" w:eastAsia="仿宋" w:cs="仿宋"/>
          <w:color w:val="auto"/>
          <w:sz w:val="28"/>
          <w:szCs w:val="28"/>
          <w:lang w:val="en-US" w:eastAsia="zh-CN"/>
        </w:rPr>
        <w:t>当地</w:t>
      </w:r>
      <w:r>
        <w:rPr>
          <w:rFonts w:hint="eastAsia" w:ascii="仿宋" w:hAnsi="仿宋" w:eastAsia="仿宋" w:cs="仿宋"/>
          <w:color w:val="auto"/>
          <w:sz w:val="28"/>
          <w:szCs w:val="28"/>
        </w:rPr>
        <w:t>海事管理机构的</w:t>
      </w:r>
      <w:r>
        <w:rPr>
          <w:rFonts w:hint="eastAsia" w:ascii="仿宋" w:hAnsi="仿宋" w:eastAsia="仿宋" w:cs="仿宋"/>
          <w:color w:val="auto"/>
          <w:sz w:val="28"/>
          <w:szCs w:val="28"/>
          <w:lang w:val="en-US" w:eastAsia="zh-CN"/>
        </w:rPr>
        <w:t>统一</w:t>
      </w:r>
      <w:r>
        <w:rPr>
          <w:rFonts w:hint="eastAsia" w:ascii="仿宋" w:hAnsi="仿宋" w:eastAsia="仿宋" w:cs="仿宋"/>
          <w:color w:val="auto"/>
          <w:sz w:val="28"/>
          <w:szCs w:val="28"/>
        </w:rPr>
        <w:t>指挥</w:t>
      </w:r>
      <w:r>
        <w:rPr>
          <w:rFonts w:hint="eastAsia" w:ascii="仿宋" w:hAnsi="仿宋" w:eastAsia="仿宋" w:cs="仿宋"/>
          <w:color w:val="auto"/>
          <w:sz w:val="28"/>
          <w:szCs w:val="28"/>
          <w:lang w:val="en-US" w:eastAsia="zh-CN"/>
        </w:rPr>
        <w:t>协调，</w:t>
      </w:r>
      <w:r>
        <w:rPr>
          <w:rFonts w:hint="eastAsia" w:ascii="仿宋" w:hAnsi="仿宋" w:eastAsia="仿宋" w:cs="仿宋"/>
          <w:color w:val="auto"/>
          <w:sz w:val="28"/>
          <w:szCs w:val="28"/>
        </w:rPr>
        <w:t>进行清污作业。</w:t>
      </w:r>
    </w:p>
    <w:p>
      <w:pPr>
        <w:pStyle w:val="24"/>
        <w:keepNext/>
        <w:keepLines w:val="0"/>
        <w:pageBreakBefore w:val="0"/>
        <w:widowControl/>
        <w:kinsoku/>
        <w:wordWrap/>
        <w:overflowPunct/>
        <w:topLinePunct w:val="0"/>
        <w:autoSpaceDE/>
        <w:autoSpaceDN/>
        <w:bidi w:val="0"/>
        <w:adjustRightInd/>
        <w:snapToGrid/>
        <w:spacing w:before="164" w:beforeLines="50" w:after="164" w:afterLines="50" w:line="360" w:lineRule="auto"/>
        <w:ind w:left="0" w:leftChars="0" w:firstLine="562" w:firstLineChars="200"/>
        <w:textAlignment w:val="auto"/>
        <w:outlineLvl w:val="1"/>
        <w:rPr>
          <w:rFonts w:hint="eastAsia" w:ascii="仿宋" w:hAnsi="仿宋" w:eastAsia="仿宋" w:cs="仿宋"/>
          <w:b/>
          <w:bCs/>
          <w:iCs/>
          <w:color w:val="auto"/>
          <w:sz w:val="28"/>
          <w:szCs w:val="28"/>
        </w:rPr>
      </w:pPr>
      <w:bookmarkStart w:id="31" w:name="_Toc22778"/>
      <w:bookmarkStart w:id="32" w:name="_Toc5910"/>
      <w:bookmarkStart w:id="33" w:name="_Toc1446"/>
      <w:r>
        <w:rPr>
          <w:rFonts w:hint="eastAsia" w:ascii="仿宋" w:hAnsi="仿宋" w:eastAsia="仿宋" w:cs="仿宋"/>
          <w:b/>
          <w:bCs/>
          <w:iCs/>
          <w:color w:val="auto"/>
          <w:sz w:val="28"/>
          <w:szCs w:val="28"/>
          <w:lang w:val="en-US" w:eastAsia="zh-CN"/>
        </w:rPr>
        <w:t>3</w:t>
      </w:r>
      <w:r>
        <w:rPr>
          <w:rFonts w:hint="eastAsia" w:ascii="仿宋" w:hAnsi="仿宋" w:eastAsia="仿宋" w:cs="仿宋"/>
          <w:b/>
          <w:bCs/>
          <w:iCs/>
          <w:color w:val="auto"/>
          <w:sz w:val="28"/>
          <w:szCs w:val="28"/>
        </w:rPr>
        <w:t>.</w:t>
      </w:r>
      <w:r>
        <w:rPr>
          <w:rFonts w:hint="eastAsia" w:ascii="仿宋" w:hAnsi="仿宋" w:eastAsia="仿宋" w:cs="仿宋"/>
          <w:b/>
          <w:bCs/>
          <w:iCs/>
          <w:color w:val="auto"/>
          <w:sz w:val="28"/>
          <w:szCs w:val="28"/>
          <w:lang w:val="en-US" w:eastAsia="zh-CN"/>
        </w:rPr>
        <w:t xml:space="preserve">4 </w:t>
      </w:r>
      <w:r>
        <w:rPr>
          <w:rFonts w:hint="eastAsia" w:ascii="仿宋" w:hAnsi="仿宋" w:eastAsia="仿宋" w:cs="仿宋"/>
          <w:b/>
          <w:bCs/>
          <w:iCs/>
          <w:color w:val="auto"/>
          <w:sz w:val="28"/>
          <w:szCs w:val="28"/>
        </w:rPr>
        <w:t>典型场景清污策略</w:t>
      </w:r>
      <w:bookmarkEnd w:id="31"/>
      <w:bookmarkEnd w:id="32"/>
      <w:bookmarkEnd w:id="33"/>
    </w:p>
    <w:p>
      <w:pPr>
        <w:pStyle w:val="26"/>
        <w:keepNext/>
        <w:keepLines w:val="0"/>
        <w:pageBreakBefore w:val="0"/>
        <w:widowControl/>
        <w:kinsoku/>
        <w:wordWrap/>
        <w:overflowPunct/>
        <w:topLinePunct w:val="0"/>
        <w:autoSpaceDE/>
        <w:autoSpaceDN/>
        <w:bidi w:val="0"/>
        <w:adjustRightInd/>
        <w:snapToGrid/>
        <w:spacing w:before="0" w:after="0" w:line="360" w:lineRule="auto"/>
        <w:ind w:firstLine="562" w:firstLineChars="200"/>
        <w:textAlignment w:val="auto"/>
        <w:rPr>
          <w:rFonts w:hint="eastAsia" w:ascii="仿宋" w:hAnsi="仿宋" w:eastAsia="仿宋" w:cs="仿宋"/>
          <w:color w:val="auto"/>
          <w:sz w:val="28"/>
          <w:szCs w:val="28"/>
        </w:rPr>
      </w:pPr>
      <w:bookmarkStart w:id="34" w:name="_Toc3268"/>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.4.1</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分船型和油种的清污策略</w:t>
      </w:r>
      <w:bookmarkEnd w:id="34"/>
    </w:p>
    <w:p>
      <w:pPr>
        <w:keepLines w:val="0"/>
        <w:pageBreakBefore w:val="0"/>
        <w:widowControl/>
        <w:kinsoku/>
        <w:wordWrap/>
        <w:overflowPunct/>
        <w:topLinePunct w:val="0"/>
        <w:autoSpaceDE/>
        <w:autoSpaceDN/>
        <w:bidi w:val="0"/>
        <w:adjustRightInd/>
        <w:snapToGrid/>
        <w:spacing w:line="360" w:lineRule="auto"/>
        <w:ind w:firstLine="551" w:firstLineChars="197"/>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船舶污染风险分为海难性事故和操作性事故，根据事故发生类型及地点</w:t>
      </w:r>
      <w:r>
        <w:rPr>
          <w:rFonts w:hint="eastAsia" w:ascii="仿宋" w:hAnsi="仿宋" w:eastAsia="仿宋" w:cs="仿宋"/>
          <w:color w:val="auto"/>
          <w:sz w:val="28"/>
          <w:szCs w:val="28"/>
        </w:rPr>
        <w:t>的不同，本方案将作业地点分为外海区域和近岸（港池）区域。本方案将船舶类型按载运货种进行分类，分为载运“持久性油类”</w:t>
      </w:r>
      <w:r>
        <w:rPr>
          <w:rFonts w:hint="eastAsia" w:ascii="仿宋" w:hAnsi="仿宋" w:eastAsia="仿宋" w:cs="仿宋"/>
          <w:color w:val="auto"/>
          <w:sz w:val="28"/>
          <w:szCs w:val="28"/>
          <w:lang w:val="en-US" w:eastAsia="zh-CN"/>
        </w:rPr>
        <w:t>的船舶、载运</w:t>
      </w:r>
      <w:r>
        <w:rPr>
          <w:rFonts w:hint="eastAsia" w:ascii="仿宋" w:hAnsi="仿宋" w:eastAsia="仿宋" w:cs="仿宋"/>
          <w:color w:val="auto"/>
          <w:sz w:val="28"/>
          <w:szCs w:val="28"/>
        </w:rPr>
        <w:t>“非持久性油类”的</w:t>
      </w:r>
      <w:r>
        <w:rPr>
          <w:rFonts w:hint="eastAsia" w:ascii="仿宋" w:hAnsi="仿宋" w:eastAsia="仿宋" w:cs="仿宋"/>
          <w:color w:val="auto"/>
          <w:sz w:val="28"/>
          <w:szCs w:val="28"/>
          <w:lang w:val="en-US" w:eastAsia="zh-CN"/>
        </w:rPr>
        <w:t>船舶</w:t>
      </w:r>
      <w:r>
        <w:rPr>
          <w:rFonts w:hint="eastAsia" w:ascii="仿宋" w:hAnsi="仿宋" w:eastAsia="仿宋" w:cs="仿宋"/>
          <w:color w:val="auto"/>
          <w:sz w:val="28"/>
          <w:szCs w:val="28"/>
        </w:rPr>
        <w:t>及普通船舶。</w:t>
      </w:r>
    </w:p>
    <w:p>
      <w:pPr>
        <w:keepLines w:val="0"/>
        <w:pageBreakBefore w:val="0"/>
        <w:widowControl/>
        <w:kinsoku/>
        <w:wordWrap/>
        <w:overflowPunct/>
        <w:topLinePunct w:val="0"/>
        <w:autoSpaceDE/>
        <w:autoSpaceDN/>
        <w:bidi w:val="0"/>
        <w:adjustRightInd/>
        <w:snapToGrid/>
        <w:spacing w:line="360" w:lineRule="auto"/>
        <w:ind w:firstLine="560" w:firstLineChars="200"/>
        <w:textAlignment w:val="auto"/>
        <w:rPr>
          <w:rFonts w:hint="eastAsia" w:ascii="仿宋" w:hAnsi="仿宋" w:eastAsia="仿宋" w:cs="仿宋"/>
          <w:b/>
          <w:color w:val="auto"/>
          <w:sz w:val="28"/>
          <w:szCs w:val="28"/>
        </w:rPr>
      </w:pPr>
      <w:r>
        <w:rPr>
          <w:rFonts w:hint="eastAsia" w:ascii="仿宋" w:hAnsi="仿宋" w:eastAsia="仿宋" w:cs="仿宋"/>
          <w:color w:val="auto"/>
          <w:sz w:val="28"/>
          <w:szCs w:val="28"/>
        </w:rPr>
        <w:t>典型场景的清污方案见表</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-2。</w:t>
      </w:r>
    </w:p>
    <w:p>
      <w:pPr>
        <w:spacing w:line="480" w:lineRule="exact"/>
        <w:jc w:val="center"/>
        <w:rPr>
          <w:rFonts w:hint="eastAsia" w:ascii="仿宋" w:hAnsi="仿宋" w:eastAsia="仿宋" w:cs="仿宋"/>
          <w:color w:val="auto"/>
          <w:sz w:val="28"/>
          <w:szCs w:val="28"/>
          <w:lang w:eastAsia="zh-CN"/>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3</w:t>
      </w:r>
      <w:r>
        <w:rPr>
          <w:rFonts w:hint="eastAsia" w:ascii="仿宋" w:hAnsi="仿宋" w:eastAsia="仿宋" w:cs="仿宋"/>
          <w:b/>
          <w:color w:val="auto"/>
          <w:sz w:val="28"/>
          <w:szCs w:val="28"/>
        </w:rPr>
        <w:t>-2 典型场景的清污方</w:t>
      </w:r>
      <w:r>
        <w:rPr>
          <w:rFonts w:hint="eastAsia" w:ascii="仿宋" w:hAnsi="仿宋" w:eastAsia="仿宋" w:cs="仿宋"/>
          <w:b/>
          <w:color w:val="auto"/>
          <w:sz w:val="28"/>
          <w:szCs w:val="28"/>
          <w:lang w:eastAsia="zh-CN"/>
        </w:rPr>
        <w:t>案</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25"/>
        <w:gridCol w:w="1409"/>
        <w:gridCol w:w="1908"/>
        <w:gridCol w:w="516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606" w:hRule="atLeast"/>
          <w:tblHeader/>
          <w:jc w:val="center"/>
        </w:trPr>
        <w:tc>
          <w:tcPr>
            <w:tcW w:w="482" w:type="dxa"/>
            <w:tcBorders>
              <w:tl2br w:val="nil"/>
              <w:tr2bl w:val="nil"/>
            </w:tcBorders>
            <w:noWrap w:val="0"/>
            <w:textDirection w:val="tbRlV"/>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区域</w:t>
            </w:r>
          </w:p>
        </w:tc>
        <w:tc>
          <w:tcPr>
            <w:tcW w:w="3046" w:type="dxa"/>
            <w:gridSpan w:val="2"/>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船型及污染物</w:t>
            </w:r>
          </w:p>
        </w:tc>
        <w:tc>
          <w:tcPr>
            <w:tcW w:w="4741" w:type="dxa"/>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清污方案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803" w:hRule="atLeast"/>
          <w:jc w:val="center"/>
        </w:trPr>
        <w:tc>
          <w:tcPr>
            <w:tcW w:w="482" w:type="dxa"/>
            <w:vMerge w:val="restart"/>
            <w:tcBorders>
              <w:tl2br w:val="nil"/>
              <w:tr2bl w:val="nil"/>
            </w:tcBorders>
            <w:noWrap w:val="0"/>
            <w:textDirection w:val="tbRlV"/>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外海</w:t>
            </w:r>
          </w:p>
        </w:tc>
        <w:tc>
          <w:tcPr>
            <w:tcW w:w="1294"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载运散装“持久性油类”的船舶</w:t>
            </w:r>
          </w:p>
        </w:tc>
        <w:tc>
          <w:tcPr>
            <w:tcW w:w="1752"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持久性油类，如原油、燃油、重柴油和润滑油等；</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船舶燃料油</w:t>
            </w:r>
          </w:p>
        </w:tc>
        <w:tc>
          <w:tcPr>
            <w:tcW w:w="4741" w:type="dxa"/>
            <w:vMerge w:val="restart"/>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在气象海况条件允许的情况下，采取如下应急反应和污染物清除措施：</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1、切断溢油源</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（1）应急堵漏，见</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.1；</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（2）应急卸载，见</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.2。</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2、溢油围控，见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.1</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3、海面溢油的回收</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（1）机械清除，见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.2.1；</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（2）使用溢油分散剂，见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.2.2；</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（3）吸油材料的使用，见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.2.3；</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（4）人工捞取。</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4、如果溢油最终污染岸线，则需采取主要敏感资源的围护措施（见</w:t>
            </w: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.1）和岸线清除措施（见</w:t>
            </w: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.2、</w:t>
            </w:r>
            <w:r>
              <w:rPr>
                <w:rFonts w:hint="eastAsia" w:ascii="仿宋" w:hAnsi="仿宋" w:eastAsia="仿宋" w:cs="仿宋"/>
                <w:color w:val="auto"/>
                <w:sz w:val="24"/>
                <w:szCs w:val="24"/>
                <w:lang w:val="en-US" w:eastAsia="zh-CN"/>
              </w:rPr>
              <w:t>7</w:t>
            </w:r>
            <w:r>
              <w:rPr>
                <w:rFonts w:hint="eastAsia" w:ascii="仿宋" w:hAnsi="仿宋" w:eastAsia="仿宋" w:cs="仿宋"/>
                <w:color w:val="auto"/>
                <w:sz w:val="24"/>
                <w:szCs w:val="24"/>
              </w:rPr>
              <w:t>.2和</w:t>
            </w:r>
            <w:r>
              <w:rPr>
                <w:rFonts w:hint="eastAsia" w:ascii="仿宋" w:hAnsi="仿宋" w:eastAsia="仿宋" w:cs="仿宋"/>
                <w:color w:val="auto"/>
                <w:sz w:val="24"/>
                <w:szCs w:val="24"/>
                <w:lang w:val="en-US" w:eastAsia="zh-CN"/>
              </w:rPr>
              <w:t>7</w:t>
            </w:r>
            <w:r>
              <w:rPr>
                <w:rFonts w:hint="eastAsia" w:ascii="仿宋" w:hAnsi="仿宋" w:eastAsia="仿宋" w:cs="仿宋"/>
                <w:color w:val="auto"/>
                <w:sz w:val="24"/>
                <w:szCs w:val="24"/>
              </w:rPr>
              <w:t>.3）；</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5、作业安全方案见本方案第</w:t>
            </w:r>
            <w:r>
              <w:rPr>
                <w:rFonts w:hint="eastAsia" w:ascii="仿宋" w:hAnsi="仿宋" w:eastAsia="仿宋" w:cs="仿宋"/>
                <w:color w:val="auto"/>
                <w:sz w:val="24"/>
                <w:szCs w:val="24"/>
                <w:lang w:val="en-US" w:eastAsia="zh-CN"/>
              </w:rPr>
              <w:t>8</w:t>
            </w:r>
            <w:r>
              <w:rPr>
                <w:rFonts w:hint="eastAsia" w:ascii="仿宋" w:hAnsi="仿宋" w:eastAsia="仿宋" w:cs="仿宋"/>
                <w:color w:val="auto"/>
                <w:sz w:val="24"/>
                <w:szCs w:val="24"/>
              </w:rPr>
              <w:t>部分；</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6、回收的污染物处理方案，见《污染物处理方案》。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00" w:hRule="atLeast"/>
          <w:jc w:val="center"/>
        </w:trPr>
        <w:tc>
          <w:tcPr>
            <w:tcW w:w="482" w:type="dxa"/>
            <w:vMerge w:val="continue"/>
            <w:tcBorders>
              <w:tl2br w:val="nil"/>
              <w:tr2bl w:val="nil"/>
            </w:tcBorders>
            <w:noWrap w:val="0"/>
            <w:textDirection w:val="tbRlV"/>
            <w:vAlign w:val="center"/>
          </w:tcPr>
          <w:p>
            <w:pPr>
              <w:spacing w:line="240" w:lineRule="auto"/>
              <w:rPr>
                <w:rFonts w:hint="eastAsia" w:ascii="仿宋" w:hAnsi="仿宋" w:eastAsia="仿宋" w:cs="仿宋"/>
                <w:color w:val="auto"/>
                <w:sz w:val="24"/>
                <w:szCs w:val="24"/>
              </w:rPr>
            </w:pPr>
          </w:p>
        </w:tc>
        <w:tc>
          <w:tcPr>
            <w:tcW w:w="1294"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普通船舶</w:t>
            </w:r>
          </w:p>
        </w:tc>
        <w:tc>
          <w:tcPr>
            <w:tcW w:w="1752"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船舶燃料油</w:t>
            </w:r>
          </w:p>
        </w:tc>
        <w:tc>
          <w:tcPr>
            <w:tcW w:w="4741" w:type="dxa"/>
            <w:vMerge w:val="continue"/>
            <w:tcBorders>
              <w:tl2br w:val="nil"/>
              <w:tr2bl w:val="nil"/>
            </w:tcBorders>
            <w:noWrap w:val="0"/>
            <w:vAlign w:val="center"/>
          </w:tcPr>
          <w:p>
            <w:pPr>
              <w:spacing w:line="240" w:lineRule="auto"/>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3" w:hRule="atLeast"/>
          <w:jc w:val="center"/>
        </w:trPr>
        <w:tc>
          <w:tcPr>
            <w:tcW w:w="482" w:type="dxa"/>
            <w:vMerge w:val="continue"/>
            <w:tcBorders>
              <w:tl2br w:val="nil"/>
              <w:tr2bl w:val="nil"/>
            </w:tcBorders>
            <w:noWrap w:val="0"/>
            <w:textDirection w:val="tbRlV"/>
            <w:vAlign w:val="center"/>
          </w:tcPr>
          <w:p>
            <w:pPr>
              <w:spacing w:line="240" w:lineRule="auto"/>
              <w:rPr>
                <w:rFonts w:hint="eastAsia" w:ascii="仿宋" w:hAnsi="仿宋" w:eastAsia="仿宋" w:cs="仿宋"/>
                <w:color w:val="auto"/>
                <w:sz w:val="24"/>
                <w:szCs w:val="24"/>
              </w:rPr>
            </w:pPr>
          </w:p>
        </w:tc>
        <w:tc>
          <w:tcPr>
            <w:tcW w:w="1294"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载运散装“非持久性油类”的船舶</w:t>
            </w:r>
          </w:p>
        </w:tc>
        <w:tc>
          <w:tcPr>
            <w:tcW w:w="1752"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非持久性油类，如汽油、轻质柴油、航空煤油、轻质原油等</w:t>
            </w:r>
          </w:p>
        </w:tc>
        <w:tc>
          <w:tcPr>
            <w:tcW w:w="4741" w:type="dxa"/>
            <w:tcBorders>
              <w:tl2br w:val="nil"/>
              <w:tr2bl w:val="nil"/>
            </w:tcBorders>
            <w:noWrap w:val="0"/>
            <w:vAlign w:val="center"/>
          </w:tcPr>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1、切断溢油源，评估应急堵漏和应急卸载的必要性和可能性（见</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.1和</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.2）；</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2、一般不采取回收方式，让其挥发</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（1）持续监视，密切关注其动向；</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（2）同时采取安全监护措施，防止船舶进入危险区域而发生火灾爆炸事故；</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3、当有可能向附近敏感区域迁移时，可使用防火围油栏拦截和导向；</w:t>
            </w:r>
          </w:p>
          <w:p>
            <w:pPr>
              <w:pStyle w:val="12"/>
              <w:widowControl w:val="0"/>
              <w:spacing w:before="0" w:beforeAutospacing="0" w:after="0" w:afterAutospacing="0" w:line="240" w:lineRule="auto"/>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rPr>
              <w:t>4、在有可能引起火灾的情况下，可使用化学消油剂，见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.2.2</w:t>
            </w:r>
            <w:r>
              <w:rPr>
                <w:rFonts w:hint="eastAsia" w:ascii="仿宋" w:hAnsi="仿宋" w:eastAsia="仿宋" w:cs="仿宋"/>
                <w:color w:val="auto"/>
                <w:sz w:val="24"/>
                <w:szCs w:val="24"/>
                <w:lang w:eastAsia="zh-CN"/>
              </w:rPr>
              <w:t>；</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5、作业安全方案见本方案第</w:t>
            </w:r>
            <w:r>
              <w:rPr>
                <w:rFonts w:hint="eastAsia" w:ascii="仿宋" w:hAnsi="仿宋" w:eastAsia="仿宋" w:cs="仿宋"/>
                <w:color w:val="auto"/>
                <w:sz w:val="24"/>
                <w:szCs w:val="24"/>
                <w:lang w:val="en-US" w:eastAsia="zh-CN"/>
              </w:rPr>
              <w:t>8</w:t>
            </w:r>
            <w:r>
              <w:rPr>
                <w:rFonts w:hint="eastAsia" w:ascii="仿宋" w:hAnsi="仿宋" w:eastAsia="仿宋" w:cs="仿宋"/>
                <w:color w:val="auto"/>
                <w:sz w:val="24"/>
                <w:szCs w:val="24"/>
              </w:rPr>
              <w:t>部分。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155" w:hRule="atLeast"/>
          <w:jc w:val="center"/>
        </w:trPr>
        <w:tc>
          <w:tcPr>
            <w:tcW w:w="482" w:type="dxa"/>
            <w:vMerge w:val="restart"/>
            <w:tcBorders>
              <w:tl2br w:val="nil"/>
              <w:tr2bl w:val="nil"/>
            </w:tcBorders>
            <w:noWrap w:val="0"/>
            <w:textDirection w:val="tbRlV"/>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近岸（港池）</w:t>
            </w:r>
          </w:p>
        </w:tc>
        <w:tc>
          <w:tcPr>
            <w:tcW w:w="1294"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载运散装“持久性油类”的船舶</w:t>
            </w:r>
          </w:p>
        </w:tc>
        <w:tc>
          <w:tcPr>
            <w:tcW w:w="1752"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持久性油类，如原油、燃油、重柴油和润滑油等；</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船舶燃料油</w:t>
            </w:r>
          </w:p>
        </w:tc>
        <w:tc>
          <w:tcPr>
            <w:tcW w:w="4741" w:type="dxa"/>
            <w:vMerge w:val="restart"/>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采取如下应急反应和污染物清除措施</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1、切断溢油源</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（1）应急围控，见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.1；</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（2）应急堵漏，见</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.1；</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（3）应急卸载，见</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.2；</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（4）同时采取周边水域、码头的隔离措施，防止无关的船舶、人员进入事故影响区域。</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2、溢油围控，见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.1</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3、港池水面溢油的回收</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（1）机械清除，见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.2.1；</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（2）吸油材料的使用，见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.2.3；</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（3）人工捞取。</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（4）使用溢油分散剂，见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.2.2；</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4、码头岸壁/沾染油污船壁清除，见</w:t>
            </w:r>
            <w:r>
              <w:rPr>
                <w:rFonts w:hint="eastAsia" w:ascii="仿宋" w:hAnsi="仿宋" w:eastAsia="仿宋" w:cs="仿宋"/>
                <w:color w:val="auto"/>
                <w:sz w:val="24"/>
                <w:szCs w:val="24"/>
                <w:lang w:val="en-US" w:eastAsia="zh-CN"/>
              </w:rPr>
              <w:t>3</w:t>
            </w: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w:t>
            </w: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5、作业安全方案见本方案第</w:t>
            </w:r>
            <w:r>
              <w:rPr>
                <w:rFonts w:hint="eastAsia" w:ascii="仿宋" w:hAnsi="仿宋" w:eastAsia="仿宋" w:cs="仿宋"/>
                <w:color w:val="auto"/>
                <w:sz w:val="24"/>
                <w:szCs w:val="24"/>
                <w:lang w:val="en-US" w:eastAsia="zh-CN"/>
              </w:rPr>
              <w:t>8</w:t>
            </w:r>
            <w:r>
              <w:rPr>
                <w:rFonts w:hint="eastAsia" w:ascii="仿宋" w:hAnsi="仿宋" w:eastAsia="仿宋" w:cs="仿宋"/>
                <w:color w:val="auto"/>
                <w:sz w:val="24"/>
                <w:szCs w:val="24"/>
              </w:rPr>
              <w:t>部分；</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6、回收的污染物处理方案，见《污染物处理方案》。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274" w:hRule="atLeast"/>
          <w:jc w:val="center"/>
        </w:trPr>
        <w:tc>
          <w:tcPr>
            <w:tcW w:w="482" w:type="dxa"/>
            <w:vMerge w:val="continue"/>
            <w:tcBorders>
              <w:tl2br w:val="nil"/>
              <w:tr2bl w:val="nil"/>
            </w:tcBorders>
            <w:noWrap w:val="0"/>
            <w:vAlign w:val="center"/>
          </w:tcPr>
          <w:p>
            <w:pPr>
              <w:spacing w:line="240" w:lineRule="auto"/>
              <w:rPr>
                <w:rFonts w:hint="eastAsia" w:ascii="仿宋" w:hAnsi="仿宋" w:eastAsia="仿宋" w:cs="仿宋"/>
                <w:color w:val="auto"/>
                <w:sz w:val="24"/>
                <w:szCs w:val="24"/>
              </w:rPr>
            </w:pPr>
          </w:p>
        </w:tc>
        <w:tc>
          <w:tcPr>
            <w:tcW w:w="1294"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普通船舶</w:t>
            </w:r>
          </w:p>
        </w:tc>
        <w:tc>
          <w:tcPr>
            <w:tcW w:w="1752"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船舶燃料油</w:t>
            </w:r>
          </w:p>
        </w:tc>
        <w:tc>
          <w:tcPr>
            <w:tcW w:w="4741" w:type="dxa"/>
            <w:vMerge w:val="continue"/>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82" w:type="dxa"/>
            <w:vMerge w:val="continue"/>
            <w:tcBorders>
              <w:tl2br w:val="nil"/>
              <w:tr2bl w:val="nil"/>
            </w:tcBorders>
            <w:noWrap w:val="0"/>
            <w:vAlign w:val="center"/>
          </w:tcPr>
          <w:p>
            <w:pPr>
              <w:spacing w:line="240" w:lineRule="auto"/>
              <w:rPr>
                <w:rFonts w:hint="eastAsia" w:ascii="仿宋" w:hAnsi="仿宋" w:eastAsia="仿宋" w:cs="仿宋"/>
                <w:color w:val="auto"/>
                <w:sz w:val="24"/>
                <w:szCs w:val="24"/>
              </w:rPr>
            </w:pPr>
          </w:p>
        </w:tc>
        <w:tc>
          <w:tcPr>
            <w:tcW w:w="1294"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载运散装“非持久性油类”的船舶</w:t>
            </w:r>
          </w:p>
        </w:tc>
        <w:tc>
          <w:tcPr>
            <w:tcW w:w="1752"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非持久性油类，如汽油、轻质柴油、航空煤油、轻质原油等</w:t>
            </w:r>
          </w:p>
        </w:tc>
        <w:tc>
          <w:tcPr>
            <w:tcW w:w="4741" w:type="dxa"/>
            <w:tcBorders>
              <w:tl2br w:val="nil"/>
              <w:tr2bl w:val="nil"/>
            </w:tcBorders>
            <w:noWrap w:val="0"/>
            <w:vAlign w:val="center"/>
          </w:tcPr>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1、切断溢油源，评估应急堵漏和应急卸载的必要性和可能性（见</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.1和</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.2）；</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2、一般不采取回收方式，让其挥发</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（1）持续监视，密切关注其动向；</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（2）同时采取安全监护措施，对周边区域的码头、船舶及相关单位发出危险警告，防止因发生火灾爆炸、人员中毒事故；</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3、当有可能向附近敏感区域迁移时，可使用围油栏拦截和导向；</w:t>
            </w:r>
          </w:p>
          <w:p>
            <w:pPr>
              <w:pStyle w:val="12"/>
              <w:widowControl w:val="0"/>
              <w:spacing w:before="0" w:beforeAutospacing="0" w:after="0" w:afterAutospacing="0"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4、在有可能引起火灾的情况下，可使用化学消油剂，见</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.2.2；</w:t>
            </w:r>
          </w:p>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5、作业安全方案见本方案第</w:t>
            </w:r>
            <w:r>
              <w:rPr>
                <w:rFonts w:hint="eastAsia" w:ascii="仿宋" w:hAnsi="仿宋" w:eastAsia="仿宋" w:cs="仿宋"/>
                <w:color w:val="auto"/>
                <w:sz w:val="24"/>
                <w:szCs w:val="24"/>
                <w:lang w:val="en-US" w:eastAsia="zh-CN"/>
              </w:rPr>
              <w:t>8</w:t>
            </w:r>
            <w:r>
              <w:rPr>
                <w:rFonts w:hint="eastAsia" w:ascii="仿宋" w:hAnsi="仿宋" w:eastAsia="仿宋" w:cs="仿宋"/>
                <w:color w:val="auto"/>
                <w:sz w:val="24"/>
                <w:szCs w:val="24"/>
              </w:rPr>
              <w:t>部分。</w:t>
            </w:r>
          </w:p>
        </w:tc>
      </w:tr>
    </w:tbl>
    <w:p>
      <w:pPr>
        <w:spacing w:line="480" w:lineRule="exact"/>
        <w:jc w:val="both"/>
        <w:rPr>
          <w:rFonts w:hint="eastAsia" w:ascii="仿宋" w:hAnsi="仿宋" w:eastAsia="仿宋" w:cs="仿宋"/>
          <w:b/>
          <w:color w:val="auto"/>
          <w:sz w:val="21"/>
          <w:szCs w:val="21"/>
        </w:rPr>
      </w:pPr>
    </w:p>
    <w:p>
      <w:pPr>
        <w:pStyle w:val="26"/>
        <w:keepNext/>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b/>
          <w:bCs/>
          <w:color w:val="auto"/>
          <w:sz w:val="28"/>
          <w:szCs w:val="28"/>
        </w:rPr>
      </w:pPr>
      <w:bookmarkStart w:id="35" w:name="_Toc2279"/>
      <w:r>
        <w:rPr>
          <w:rFonts w:hint="eastAsia" w:ascii="仿宋" w:hAnsi="仿宋" w:eastAsia="仿宋" w:cs="仿宋"/>
          <w:b/>
          <w:bCs/>
          <w:color w:val="auto"/>
          <w:sz w:val="28"/>
          <w:szCs w:val="28"/>
          <w:lang w:val="en-US" w:eastAsia="zh-CN"/>
        </w:rPr>
        <w:t>3</w:t>
      </w:r>
      <w:r>
        <w:rPr>
          <w:rFonts w:hint="eastAsia" w:ascii="仿宋" w:hAnsi="仿宋" w:eastAsia="仿宋" w:cs="仿宋"/>
          <w:b/>
          <w:bCs/>
          <w:color w:val="auto"/>
          <w:sz w:val="28"/>
          <w:szCs w:val="28"/>
        </w:rPr>
        <w:t>.4.2</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码头岸壁和船壁清污策略</w:t>
      </w:r>
      <w:bookmarkEnd w:id="35"/>
    </w:p>
    <w:p>
      <w:pPr>
        <w:numPr>
          <w:ilvl w:val="0"/>
          <w:numId w:val="0"/>
        </w:numPr>
        <w:spacing w:line="360" w:lineRule="auto"/>
        <w:ind w:right="0" w:rightChars="0" w:firstLine="562" w:firstLineChars="200"/>
        <w:jc w:val="both"/>
        <w:rPr>
          <w:rFonts w:hint="eastAsia" w:ascii="仿宋" w:hAnsi="仿宋" w:eastAsia="仿宋" w:cs="仿宋"/>
          <w:b/>
          <w:bCs w:val="0"/>
          <w:color w:val="auto"/>
          <w:sz w:val="28"/>
          <w:szCs w:val="28"/>
        </w:rPr>
      </w:pPr>
      <w:r>
        <w:rPr>
          <w:rFonts w:hint="eastAsia" w:ascii="仿宋" w:hAnsi="仿宋" w:eastAsia="仿宋" w:cs="仿宋"/>
          <w:b/>
          <w:bCs w:val="0"/>
          <w:color w:val="auto"/>
          <w:sz w:val="28"/>
          <w:szCs w:val="28"/>
          <w:lang w:val="en-US" w:eastAsia="zh-CN"/>
        </w:rPr>
        <w:t xml:space="preserve">3.4.2.1 </w:t>
      </w:r>
      <w:r>
        <w:rPr>
          <w:rFonts w:hint="eastAsia" w:ascii="仿宋" w:hAnsi="仿宋" w:eastAsia="仿宋" w:cs="仿宋"/>
          <w:b/>
          <w:bCs w:val="0"/>
          <w:color w:val="auto"/>
          <w:sz w:val="28"/>
          <w:szCs w:val="28"/>
        </w:rPr>
        <w:t>物理方法</w:t>
      </w:r>
    </w:p>
    <w:p>
      <w:pPr>
        <w:numPr>
          <w:ilvl w:val="0"/>
          <w:numId w:val="0"/>
        </w:numPr>
        <w:spacing w:line="360" w:lineRule="auto"/>
        <w:ind w:leftChars="197" w:right="0" w:rightChars="0"/>
        <w:jc w:val="both"/>
        <w:rPr>
          <w:rFonts w:hint="eastAsia" w:ascii="仿宋" w:hAnsi="仿宋" w:eastAsia="仿宋" w:cs="仿宋"/>
          <w:color w:val="auto"/>
          <w:sz w:val="28"/>
          <w:szCs w:val="28"/>
        </w:rPr>
      </w:pPr>
      <w:r>
        <w:rPr>
          <w:rFonts w:hint="eastAsia" w:ascii="仿宋" w:hAnsi="仿宋" w:eastAsia="仿宋" w:cs="仿宋"/>
          <w:color w:val="auto"/>
          <w:sz w:val="28"/>
          <w:szCs w:val="28"/>
        </w:rPr>
        <w:t>（1）人工使用吸油材料</w:t>
      </w:r>
    </w:p>
    <w:p>
      <w:pPr>
        <w:spacing w:line="360" w:lineRule="auto"/>
        <w:ind w:firstLine="551" w:firstLineChars="197"/>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rPr>
        <w:t>方法简介：人工操作使用吸油材料吸收油</w:t>
      </w:r>
      <w:r>
        <w:rPr>
          <w:rFonts w:hint="eastAsia" w:ascii="仿宋" w:hAnsi="仿宋" w:eastAsia="仿宋" w:cs="仿宋"/>
          <w:color w:val="auto"/>
          <w:sz w:val="28"/>
          <w:szCs w:val="28"/>
          <w:lang w:eastAsia="zh-CN"/>
        </w:rPr>
        <w:t>。</w:t>
      </w:r>
    </w:p>
    <w:p>
      <w:pPr>
        <w:spacing w:line="360" w:lineRule="auto"/>
        <w:ind w:firstLine="551" w:firstLineChars="197"/>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rPr>
        <w:t>适用范围：低粘性油</w:t>
      </w:r>
      <w:r>
        <w:rPr>
          <w:rFonts w:hint="eastAsia" w:ascii="仿宋" w:hAnsi="仿宋" w:eastAsia="仿宋" w:cs="仿宋"/>
          <w:color w:val="auto"/>
          <w:sz w:val="28"/>
          <w:szCs w:val="28"/>
          <w:lang w:eastAsia="zh-CN"/>
        </w:rPr>
        <w:t>。</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（2）低压水冲洗（环境温度）</w:t>
      </w:r>
    </w:p>
    <w:p>
      <w:pPr>
        <w:spacing w:line="360" w:lineRule="auto"/>
        <w:ind w:firstLine="551" w:firstLineChars="197"/>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rPr>
        <w:t>方法简介：用低压水冲洗面层上的油，冲洗水经排水沟流至回收区</w:t>
      </w:r>
      <w:r>
        <w:rPr>
          <w:rFonts w:hint="eastAsia" w:ascii="仿宋" w:hAnsi="仿宋" w:eastAsia="仿宋" w:cs="仿宋"/>
          <w:color w:val="auto"/>
          <w:sz w:val="28"/>
          <w:szCs w:val="28"/>
          <w:lang w:eastAsia="zh-CN"/>
        </w:rPr>
        <w:t>。</w:t>
      </w:r>
    </w:p>
    <w:p>
      <w:pPr>
        <w:spacing w:line="360" w:lineRule="auto"/>
        <w:ind w:firstLine="551" w:firstLineChars="197"/>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rPr>
        <w:t>适用范围：码头水平面层上的污油</w:t>
      </w:r>
      <w:r>
        <w:rPr>
          <w:rFonts w:hint="eastAsia" w:ascii="仿宋" w:hAnsi="仿宋" w:eastAsia="仿宋" w:cs="仿宋"/>
          <w:color w:val="auto"/>
          <w:sz w:val="28"/>
          <w:szCs w:val="28"/>
          <w:lang w:eastAsia="zh-CN"/>
        </w:rPr>
        <w:t>。</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高压热水冲洗</w:t>
      </w:r>
    </w:p>
    <w:p>
      <w:pPr>
        <w:spacing w:line="360" w:lineRule="auto"/>
        <w:ind w:firstLine="551" w:firstLineChars="197"/>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rPr>
        <w:t>方法简介：用高压热水冲洗面层上的油，冲洗水经排水沟流至回收区</w:t>
      </w:r>
      <w:r>
        <w:rPr>
          <w:rFonts w:hint="eastAsia" w:ascii="仿宋" w:hAnsi="仿宋" w:eastAsia="仿宋" w:cs="仿宋"/>
          <w:color w:val="auto"/>
          <w:sz w:val="28"/>
          <w:szCs w:val="28"/>
          <w:lang w:eastAsia="zh-CN"/>
        </w:rPr>
        <w:t>。</w:t>
      </w:r>
    </w:p>
    <w:p>
      <w:pPr>
        <w:spacing w:line="360" w:lineRule="auto"/>
        <w:ind w:firstLine="551" w:firstLineChars="197"/>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rPr>
        <w:t>适用范围：码头水平面层上的污油</w:t>
      </w:r>
      <w:r>
        <w:rPr>
          <w:rFonts w:hint="eastAsia" w:ascii="仿宋" w:hAnsi="仿宋" w:eastAsia="仿宋" w:cs="仿宋"/>
          <w:color w:val="auto"/>
          <w:sz w:val="28"/>
          <w:szCs w:val="28"/>
          <w:lang w:eastAsia="zh-CN"/>
        </w:rPr>
        <w:t>。</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（4）人工刮除</w:t>
      </w:r>
    </w:p>
    <w:p>
      <w:pPr>
        <w:spacing w:line="360" w:lineRule="auto"/>
        <w:ind w:firstLine="551" w:firstLineChars="197"/>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rPr>
        <w:t>方法简介：用手工工具将油从岸壁上刮除</w:t>
      </w:r>
      <w:r>
        <w:rPr>
          <w:rFonts w:hint="eastAsia" w:ascii="仿宋" w:hAnsi="仿宋" w:eastAsia="仿宋" w:cs="仿宋"/>
          <w:color w:val="auto"/>
          <w:sz w:val="28"/>
          <w:szCs w:val="28"/>
          <w:lang w:eastAsia="zh-CN"/>
        </w:rPr>
        <w:t>。</w:t>
      </w:r>
    </w:p>
    <w:p>
      <w:pPr>
        <w:spacing w:line="360" w:lineRule="auto"/>
        <w:ind w:firstLine="551" w:firstLineChars="197"/>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rPr>
        <w:t>适用范围：用于其他清除技术不能清除的重质油</w:t>
      </w:r>
      <w:r>
        <w:rPr>
          <w:rFonts w:hint="eastAsia" w:ascii="仿宋" w:hAnsi="仿宋" w:eastAsia="仿宋" w:cs="仿宋"/>
          <w:color w:val="auto"/>
          <w:sz w:val="28"/>
          <w:szCs w:val="28"/>
          <w:lang w:eastAsia="zh-CN"/>
        </w:rPr>
        <w:t>。</w:t>
      </w:r>
    </w:p>
    <w:p>
      <w:pPr>
        <w:spacing w:line="360" w:lineRule="auto"/>
        <w:ind w:firstLine="554" w:firstLineChars="197"/>
        <w:jc w:val="both"/>
        <w:rPr>
          <w:rFonts w:hint="eastAsia" w:ascii="仿宋" w:hAnsi="仿宋" w:eastAsia="仿宋" w:cs="仿宋"/>
          <w:b/>
          <w:color w:val="auto"/>
          <w:sz w:val="28"/>
          <w:szCs w:val="28"/>
        </w:rPr>
      </w:pPr>
      <w:r>
        <w:rPr>
          <w:rFonts w:hint="eastAsia" w:ascii="仿宋" w:hAnsi="仿宋" w:eastAsia="仿宋" w:cs="仿宋"/>
          <w:b/>
          <w:color w:val="auto"/>
          <w:sz w:val="28"/>
          <w:szCs w:val="28"/>
          <w:lang w:val="en-US" w:eastAsia="zh-CN"/>
        </w:rPr>
        <w:t>3.4.2.</w:t>
      </w:r>
      <w:r>
        <w:rPr>
          <w:rFonts w:hint="eastAsia" w:ascii="仿宋" w:hAnsi="仿宋" w:eastAsia="仿宋" w:cs="仿宋"/>
          <w:b/>
          <w:color w:val="auto"/>
          <w:sz w:val="28"/>
          <w:szCs w:val="28"/>
        </w:rPr>
        <w:t>2</w:t>
      </w:r>
      <w:r>
        <w:rPr>
          <w:rFonts w:hint="eastAsia" w:ascii="仿宋" w:hAnsi="仿宋" w:eastAsia="仿宋" w:cs="仿宋"/>
          <w:b/>
          <w:color w:val="auto"/>
          <w:sz w:val="28"/>
          <w:szCs w:val="28"/>
          <w:lang w:val="en-US" w:eastAsia="zh-CN"/>
        </w:rPr>
        <w:t xml:space="preserve"> </w:t>
      </w:r>
      <w:r>
        <w:rPr>
          <w:rFonts w:hint="eastAsia" w:ascii="仿宋" w:hAnsi="仿宋" w:eastAsia="仿宋" w:cs="仿宋"/>
          <w:b/>
          <w:color w:val="auto"/>
          <w:sz w:val="28"/>
          <w:szCs w:val="28"/>
        </w:rPr>
        <w:t>化学方法</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在用水冲洗清除人工构筑物上的油污时，用化学清除剂可以增加冲洗效果，但所用的化学清除剂必须经过海事管理机构的批准。</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常规型和浓缩型溢油分散剂可用于岸线清除作业，常规型溢油分散剂的烃溶剂有较大的渗透力，适用于粘稠或风化油的处理。</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对于人工构筑物上的粘稠油可先用常规型分散剂将油浸渍，一般每平方米适用20至40升，浸渍15～30分钟，然后用水冲洗。对于未风化油，可用含1～5%水溶性分散剂的海水冲洗。如需要回收冲洗水中的油时，可用围油栏围拦含油冲洗水，并用收油机或吸油材料回收油。也可用吸附材料制成的栅栏围拦含油冲洗水并吸附油。</w:t>
      </w:r>
    </w:p>
    <w:p>
      <w:pPr>
        <w:spacing w:line="360" w:lineRule="auto"/>
        <w:ind w:firstLine="562" w:firstLineChars="200"/>
        <w:jc w:val="both"/>
        <w:rPr>
          <w:rFonts w:hint="eastAsia" w:ascii="仿宋" w:hAnsi="仿宋" w:eastAsia="仿宋" w:cs="仿宋"/>
          <w:b/>
          <w:bCs/>
          <w:color w:val="auto"/>
          <w:sz w:val="28"/>
          <w:szCs w:val="28"/>
        </w:rPr>
      </w:pPr>
      <w:bookmarkStart w:id="36" w:name="_Toc23336"/>
      <w:r>
        <w:rPr>
          <w:rFonts w:hint="eastAsia" w:ascii="仿宋" w:hAnsi="仿宋" w:eastAsia="仿宋" w:cs="仿宋"/>
          <w:b/>
          <w:bCs/>
          <w:color w:val="auto"/>
          <w:sz w:val="28"/>
          <w:szCs w:val="28"/>
          <w:lang w:val="en-US" w:eastAsia="zh-CN"/>
        </w:rPr>
        <w:t>3</w:t>
      </w:r>
      <w:r>
        <w:rPr>
          <w:rFonts w:hint="eastAsia" w:ascii="仿宋" w:hAnsi="仿宋" w:eastAsia="仿宋" w:cs="仿宋"/>
          <w:b/>
          <w:bCs/>
          <w:color w:val="auto"/>
          <w:sz w:val="28"/>
          <w:szCs w:val="28"/>
        </w:rPr>
        <w:t>.4.3</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散装液体化学品清污策略</w:t>
      </w:r>
      <w:bookmarkEnd w:id="36"/>
    </w:p>
    <w:p>
      <w:pPr>
        <w:pStyle w:val="26"/>
        <w:keepNext/>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3.4.3.1 </w:t>
      </w:r>
      <w:r>
        <w:rPr>
          <w:rFonts w:hint="eastAsia" w:ascii="仿宋" w:hAnsi="仿宋" w:eastAsia="仿宋" w:cs="仿宋"/>
          <w:color w:val="auto"/>
          <w:sz w:val="28"/>
          <w:szCs w:val="28"/>
        </w:rPr>
        <w:t>化学品类型及清污策略</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散装液体化学品按照比重、溶解性可分为如下四类：</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（1）沉降型化学品——比重大于水，且不溶于水的物质。</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（2）溶于水型化学品——溶解于水中，而且在它们溶解之前不易挥发、不易蒸发。</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（3）漂浮型化学品——比重小于水，不溶于水且不易挥发的液体物质。</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（4）挥发型化学品——比重小于水，且易挥发的液体。</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针对每种化学品泄漏类型的应急行动策略如下：</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（1）沉降于水中的化学品</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对于凝点低于环境温度的也考虑人工捞取的措施，但首先要保证清污人员安全。利用机械疏浚设备或泵/真空等各种适于在浅水区域的接收设备，清污措施要根据现场的实际情况而定，通过现场指挥协同各方面开展应急行动。</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（2）溶于水型化学品</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在理论上可以采取应急行动，但是在实践中却很少这样做，因为应急行动有可能增加对周围人群健康及环境风险。通常更可取更现实的应急手段是对水体的稀释搅拌，这样会减少对人类造成的风险。对污染水域反复进行机械搅拌分散措施有助于促进这一过程。</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（3）漂浮于水上的化学品</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类油类化学品泄漏应急行动参照溢油事故应急措施开展应急行动。</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对于溢油及类油物质溢出的应急措施适用于这类污染</w:t>
      </w:r>
      <w:r>
        <w:rPr>
          <w:rFonts w:hint="eastAsia" w:ascii="仿宋" w:hAnsi="仿宋" w:eastAsia="仿宋" w:cs="仿宋"/>
          <w:color w:val="auto"/>
          <w:sz w:val="28"/>
          <w:szCs w:val="28"/>
          <w:lang w:val="en-US" w:eastAsia="zh-CN"/>
        </w:rPr>
        <w:t>物</w:t>
      </w:r>
      <w:r>
        <w:rPr>
          <w:rFonts w:hint="eastAsia" w:ascii="仿宋" w:hAnsi="仿宋" w:eastAsia="仿宋" w:cs="仿宋"/>
          <w:color w:val="auto"/>
          <w:sz w:val="28"/>
          <w:szCs w:val="28"/>
        </w:rPr>
        <w:t>，利用围油栏限制漂浮物质的扩散以保护易受损区域，根据不同的环境条件和预期目的可以选择不同类型的设备，此外还要选择相适宜的围油栏材料（如，PVC围油栏不适用于液体化学品围控）。同时还要考虑应用收油机器（如隔膜泵）、吸油材料将水面的物质回收。如对二甲苯使用活性炭或其他惰性材料吸附。</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类油液体化学品，当厚度在0.1mm左右时，可用消油剂、吸油材料、燃烧等方法。</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如果污染物扩散到岸线，本公司将根据不同情况采用热水冲洗、浇洒石灰粉末、稻草清刷等，但必须注意清除后的材料回收，避免二次污染。</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（4）挥发性化学物质</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对挥发性化学物质泄漏事故的应急行动是非常有限的，在理论上灭火泡沫（需采用抗溶性，由船方或码头方的消防设施提供并由其采取相应措施）可以用来覆盖化学物质以减少它的挥发速率。通常低闪点的物质在数分钟内基本就挥发掉，在实践中尽快向下风向区域发出警报是最佳选择。</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挥发性化学物质的泄漏回收设备必须考虑到防火防爆的要求，部分化学品蒸气较空气重，容易聚集在水面上并扩散到较远的地方，应急处置必须考虑遇明火时回燃的危险因素。</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注意事项：具体的回收处置方法必须向签订协议的船方或码头方索取泄漏化学品的MSDS，防止次生事故的发生。</w:t>
      </w:r>
    </w:p>
    <w:p>
      <w:pPr>
        <w:spacing w:line="360" w:lineRule="auto"/>
        <w:ind w:firstLine="554" w:firstLineChars="197"/>
        <w:jc w:val="both"/>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3.4.3.</w:t>
      </w:r>
      <w:r>
        <w:rPr>
          <w:rFonts w:hint="eastAsia" w:ascii="仿宋" w:hAnsi="仿宋" w:eastAsia="仿宋" w:cs="仿宋"/>
          <w:b/>
          <w:bCs/>
          <w:color w:val="auto"/>
          <w:sz w:val="28"/>
          <w:szCs w:val="28"/>
        </w:rPr>
        <w:t>2</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化学品泄漏事故应急特别注意事项</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在化学品污染事故的应急反应行动中，现场作业和救护人员应优先考虑清污人员的安全，采取适当的措施防止事故升级，因此，在采取应急措施时，要特别注意：</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（1）听从政府管理部门的指挥，在保障人员安全的前提下进行污染清除作业。</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（2）防止火灾和爆炸事故的发生。特别是有些化学品发生泄漏后，在空气中的挥发性很大，极易引发火灾。</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3）泄漏发生初期，是化学品蒸发最大的阶段，所有船舶、清污和救护的人员尽量处于污染物的上风，关闭船上不必要的进风口，消除所有可能的火源，采取措施防止易燃气体进入居住舱室和机舱处所；禁止任何人和船舶进入污染物区域内，清污工作应在污染物的边缘地区，在污染物经过一定时间的自然挥发后，方可进入进行清污作业；在清污作业时，应确保有足够的水上和陆上消防力量监护，一旦发生火灾，即可实施灭火救援。</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（4）所有参加清污的船艇及动力设备工具必须具备火星熄灭器，防止清污作业产生火花。</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（5）现场指挥人员应密切注意污染物的漂移和清污作业的动态，不要在危险条件下进行清污作业。</w:t>
      </w:r>
    </w:p>
    <w:p>
      <w:pPr>
        <w:spacing w:line="360" w:lineRule="auto"/>
        <w:ind w:firstLine="551" w:firstLineChars="197"/>
        <w:jc w:val="both"/>
        <w:rPr>
          <w:rFonts w:hint="eastAsia" w:ascii="仿宋" w:hAnsi="仿宋" w:eastAsia="仿宋" w:cs="仿宋"/>
          <w:color w:val="auto"/>
          <w:sz w:val="28"/>
          <w:szCs w:val="28"/>
        </w:rPr>
      </w:pPr>
      <w:r>
        <w:rPr>
          <w:rFonts w:hint="eastAsia" w:ascii="仿宋" w:hAnsi="仿宋" w:eastAsia="仿宋" w:cs="仿宋"/>
          <w:color w:val="auto"/>
          <w:sz w:val="28"/>
          <w:szCs w:val="28"/>
        </w:rPr>
        <w:t>（6）化学品泄漏事故发生后，考虑其挥发毒性和可燃性以及天气海况，以泄漏地点为中心，分别划定内层处置区、警戒区和外围疏散区。内层应急处置区内主要留有一线处置人员、环境监测人员，在防护上应该满足最高级防护要求，如自给正压式呼吸器、穿防毒物渗透工作服等；警戒区内设置应急物资集合点、消防器材集合点、残液回收设备停放点，所以应留有应急器材输送人员、消防待命人员、环境监测人员、二线处置人员应配备佩戴过滤式防毒面具、防静电工作服等；外围疏散区内应留有前线指挥人员、警戒人员、环境监测人员。应准备相应个人防护设备。上述各种防护装备根据具体化学品特性情况进行配备。</w:t>
      </w:r>
    </w:p>
    <w:p>
      <w:pPr>
        <w:spacing w:line="360" w:lineRule="auto"/>
        <w:ind w:firstLine="554" w:firstLineChars="197"/>
        <w:jc w:val="both"/>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3.4.4 </w:t>
      </w:r>
      <w:r>
        <w:rPr>
          <w:rFonts w:hint="eastAsia" w:ascii="仿宋" w:hAnsi="仿宋" w:eastAsia="仿宋" w:cs="仿宋"/>
          <w:b/>
          <w:bCs/>
          <w:color w:val="auto"/>
          <w:sz w:val="28"/>
          <w:szCs w:val="28"/>
        </w:rPr>
        <w:t>各类危险货物应急处置</w:t>
      </w:r>
    </w:p>
    <w:p>
      <w:pPr>
        <w:widowControl w:val="0"/>
        <w:numPr>
          <w:ilvl w:val="0"/>
          <w:numId w:val="0"/>
        </w:numPr>
        <w:spacing w:line="360" w:lineRule="auto"/>
        <w:ind w:leftChars="0" w:right="0" w:rightChars="0" w:firstLine="562" w:firstLineChars="200"/>
        <w:jc w:val="both"/>
        <w:rPr>
          <w:rFonts w:hint="eastAsia" w:ascii="仿宋" w:hAnsi="仿宋" w:eastAsia="仿宋" w:cs="仿宋"/>
          <w:color w:val="auto"/>
          <w:sz w:val="28"/>
          <w:szCs w:val="28"/>
          <w:lang w:eastAsia="zh-CN"/>
        </w:rPr>
      </w:pPr>
      <w:r>
        <w:rPr>
          <w:rFonts w:hint="eastAsia" w:ascii="仿宋" w:hAnsi="仿宋" w:eastAsia="仿宋" w:cs="仿宋"/>
          <w:b/>
          <w:bCs/>
          <w:color w:val="auto"/>
          <w:sz w:val="28"/>
          <w:szCs w:val="28"/>
          <w:lang w:val="en-US" w:eastAsia="zh-CN"/>
        </w:rPr>
        <w:t xml:space="preserve">3.4.4.1 </w:t>
      </w:r>
      <w:r>
        <w:rPr>
          <w:rFonts w:hint="eastAsia" w:ascii="仿宋" w:hAnsi="仿宋" w:eastAsia="仿宋" w:cs="仿宋"/>
          <w:b/>
          <w:bCs/>
          <w:color w:val="auto"/>
          <w:sz w:val="28"/>
          <w:szCs w:val="28"/>
        </w:rPr>
        <w:t>爆炸品应急处置</w:t>
      </w:r>
      <w:r>
        <w:rPr>
          <w:rFonts w:hint="eastAsia" w:ascii="仿宋" w:hAnsi="仿宋" w:eastAsia="仿宋" w:cs="仿宋"/>
          <w:color w:val="auto"/>
          <w:sz w:val="28"/>
          <w:szCs w:val="28"/>
        </w:rPr>
        <w:t>（包括第1.1类、1.2类、1.3类、1.4类、1.5类爆炸品）</w:t>
      </w:r>
      <w:r>
        <w:rPr>
          <w:rFonts w:hint="eastAsia" w:ascii="仿宋" w:hAnsi="仿宋" w:eastAsia="仿宋" w:cs="仿宋"/>
          <w:color w:val="auto"/>
          <w:sz w:val="28"/>
          <w:szCs w:val="28"/>
          <w:lang w:eastAsia="zh-CN"/>
        </w:rPr>
        <w:t>。</w:t>
      </w:r>
    </w:p>
    <w:p>
      <w:pPr>
        <w:widowControl w:val="0"/>
        <w:numPr>
          <w:ilvl w:val="0"/>
          <w:numId w:val="0"/>
        </w:numPr>
        <w:spacing w:line="360" w:lineRule="auto"/>
        <w:ind w:leftChars="0" w:right="0" w:rightChars="0"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需配备的专用应急器材包括：防护服（手套、靴子、防火工作服、带护镜的头盔）、自给式空气呼吸器、防火花软底鞋、软刷和塑料簸箕。</w:t>
      </w:r>
    </w:p>
    <w:p>
      <w:pPr>
        <w:widowControl w:val="0"/>
        <w:numPr>
          <w:ilvl w:val="0"/>
          <w:numId w:val="0"/>
        </w:numPr>
        <w:spacing w:line="360" w:lineRule="auto"/>
        <w:ind w:leftChars="0" w:right="0" w:rightChars="0"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行动：扫除或收拾起这些危险物品，如物品仍然完整但出现损害，应将其隔离，并寻求指示。应保持泄漏爆炸物的湿润，如可行，应使用软刷和塑料簸箕收集泄漏爆炸物，以便将泄漏物和污染了的设备安全地转移处置。</w:t>
      </w:r>
    </w:p>
    <w:p>
      <w:pPr>
        <w:widowControl w:val="0"/>
        <w:numPr>
          <w:ilvl w:val="0"/>
          <w:numId w:val="0"/>
        </w:numPr>
        <w:spacing w:line="360" w:lineRule="auto"/>
        <w:ind w:leftChars="0" w:right="0" w:rightChars="0"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如爆炸物包件没有直接卷入水中，要尽量防止火触及爆炸物。通常的做法是保持包件湿润，在尽可能远离的地方用水射流将火隔离。如实际可行，应尽快转移可能卷入火中的爆炸物包件。如火触及爆炸物，应立即放弃处置，并将人员迅速撤离该区域。</w:t>
      </w:r>
    </w:p>
    <w:p>
      <w:pPr>
        <w:widowControl w:val="0"/>
        <w:numPr>
          <w:ilvl w:val="0"/>
          <w:numId w:val="0"/>
        </w:numPr>
        <w:spacing w:line="360" w:lineRule="auto"/>
        <w:ind w:leftChars="0" w:right="0" w:rightChars="0" w:firstLine="562" w:firstLineChars="200"/>
        <w:jc w:val="both"/>
        <w:rPr>
          <w:rFonts w:hint="eastAsia" w:ascii="仿宋" w:hAnsi="仿宋" w:eastAsia="仿宋" w:cs="仿宋"/>
          <w:color w:val="auto"/>
          <w:sz w:val="28"/>
          <w:szCs w:val="28"/>
        </w:rPr>
      </w:pPr>
      <w:r>
        <w:rPr>
          <w:rFonts w:hint="eastAsia" w:ascii="仿宋" w:hAnsi="仿宋" w:eastAsia="仿宋" w:cs="仿宋"/>
          <w:b/>
          <w:bCs/>
          <w:i w:val="0"/>
          <w:iCs w:val="0"/>
          <w:color w:val="auto"/>
          <w:sz w:val="28"/>
          <w:szCs w:val="28"/>
          <w:lang w:val="en-US" w:eastAsia="zh-CN"/>
        </w:rPr>
        <w:t xml:space="preserve">3.4.4.2 </w:t>
      </w:r>
      <w:r>
        <w:rPr>
          <w:rFonts w:hint="eastAsia" w:ascii="仿宋" w:hAnsi="仿宋" w:eastAsia="仿宋" w:cs="仿宋"/>
          <w:b/>
          <w:bCs/>
          <w:i w:val="0"/>
          <w:iCs w:val="0"/>
          <w:color w:val="auto"/>
          <w:sz w:val="28"/>
          <w:szCs w:val="28"/>
        </w:rPr>
        <w:t>压缩气体应急处置</w:t>
      </w:r>
      <w:r>
        <w:rPr>
          <w:rFonts w:hint="eastAsia" w:ascii="仿宋" w:hAnsi="仿宋" w:eastAsia="仿宋" w:cs="仿宋"/>
          <w:color w:val="auto"/>
          <w:sz w:val="28"/>
          <w:szCs w:val="28"/>
        </w:rPr>
        <w:t>（包括易燃或非易燃、有毒或无毒、有腐蚀性、氧化剂）</w:t>
      </w:r>
    </w:p>
    <w:p>
      <w:pPr>
        <w:widowControl w:val="0"/>
        <w:numPr>
          <w:ilvl w:val="0"/>
          <w:numId w:val="0"/>
        </w:numPr>
        <w:spacing w:line="360" w:lineRule="auto"/>
        <w:ind w:leftChars="0" w:right="0" w:rightChars="0"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需配备的专用应急器材：防护服（手套、靴子、连体工作服、安全帽）、自给式空气呼吸器、喷雾水枪。</w:t>
      </w:r>
    </w:p>
    <w:p>
      <w:pPr>
        <w:widowControl w:val="0"/>
        <w:numPr>
          <w:ilvl w:val="0"/>
          <w:numId w:val="0"/>
        </w:numPr>
        <w:spacing w:line="360" w:lineRule="auto"/>
        <w:ind w:leftChars="0" w:right="0" w:rightChars="0"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泄漏应急行动：如实际可行，应尽快阻止泄漏。</w:t>
      </w:r>
    </w:p>
    <w:p>
      <w:pPr>
        <w:widowControl w:val="0"/>
        <w:numPr>
          <w:ilvl w:val="0"/>
          <w:numId w:val="0"/>
        </w:numPr>
        <w:spacing w:line="360" w:lineRule="auto"/>
        <w:ind w:leftChars="0" w:right="0" w:rightChars="0"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火灾（爆炸）应急行动：在尽可能远的地方使用水雾、泡沫或干粉灭火。用大量的水使相邻的容器保持冷却。迅速将未受损坏、经冷却的危险货物包件转移到安全地点。</w:t>
      </w:r>
    </w:p>
    <w:p>
      <w:pPr>
        <w:spacing w:line="360" w:lineRule="auto"/>
        <w:ind w:firstLine="562" w:firstLineChars="200"/>
        <w:rPr>
          <w:rFonts w:hint="eastAsia" w:ascii="仿宋" w:hAnsi="仿宋" w:eastAsia="仿宋" w:cs="仿宋"/>
          <w:color w:val="auto"/>
          <w:sz w:val="28"/>
          <w:szCs w:val="28"/>
        </w:rPr>
      </w:pPr>
      <w:r>
        <w:rPr>
          <w:rFonts w:hint="eastAsia" w:ascii="仿宋" w:hAnsi="仿宋" w:eastAsia="仿宋" w:cs="仿宋"/>
          <w:b/>
          <w:bCs/>
          <w:color w:val="auto"/>
          <w:sz w:val="28"/>
          <w:szCs w:val="28"/>
          <w:lang w:val="en-US" w:eastAsia="zh-CN"/>
        </w:rPr>
        <w:t xml:space="preserve">3.4.4.3 </w:t>
      </w:r>
      <w:r>
        <w:rPr>
          <w:rFonts w:hint="eastAsia" w:ascii="仿宋" w:hAnsi="仿宋" w:eastAsia="仿宋" w:cs="仿宋"/>
          <w:b/>
          <w:bCs/>
          <w:color w:val="auto"/>
          <w:sz w:val="28"/>
          <w:szCs w:val="28"/>
        </w:rPr>
        <w:t>冷冻液化气体应急处置</w:t>
      </w:r>
      <w:r>
        <w:rPr>
          <w:rFonts w:hint="eastAsia" w:ascii="仿宋" w:hAnsi="仿宋" w:eastAsia="仿宋" w:cs="仿宋"/>
          <w:color w:val="auto"/>
          <w:sz w:val="28"/>
          <w:szCs w:val="28"/>
        </w:rPr>
        <w:t>（包括易燃的、有毒的、有腐蚀性的）</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需配备的专用应急器材：适合的防护服（手套、靴子、连体工作服、安全帽）、自给式空气呼吸器、喷雾水枪。</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行动：如实际可行，应采取措施阻止泄漏，在尽可能远的地方用水射流以加速蒸发，不要将其喷于泄漏物上。要保证水流方向不将液体推向应急救援人群，或靠近火源或与其交界的区域。不要将水射流直接喷射在泄漏排放的裂口处。</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火灾（爆炸）应急行动：应使用大量的水从尽可能远的地方冷却环境和相邻的容器，在可能的情况下迅速将未受损坏、经冷却的包件转移到安全地点。</w:t>
      </w:r>
    </w:p>
    <w:p>
      <w:pPr>
        <w:spacing w:line="360" w:lineRule="auto"/>
        <w:ind w:firstLine="562" w:firstLineChars="200"/>
        <w:rPr>
          <w:rFonts w:hint="eastAsia" w:ascii="仿宋" w:hAnsi="仿宋" w:eastAsia="仿宋" w:cs="仿宋"/>
          <w:color w:val="auto"/>
          <w:sz w:val="28"/>
          <w:szCs w:val="28"/>
        </w:rPr>
      </w:pPr>
      <w:r>
        <w:rPr>
          <w:rFonts w:hint="eastAsia" w:ascii="仿宋" w:hAnsi="仿宋" w:eastAsia="仿宋" w:cs="仿宋"/>
          <w:b/>
          <w:bCs/>
          <w:color w:val="auto"/>
          <w:sz w:val="28"/>
          <w:szCs w:val="28"/>
          <w:lang w:val="en-US" w:eastAsia="zh-CN"/>
        </w:rPr>
        <w:t xml:space="preserve">3.4.4.4 </w:t>
      </w:r>
      <w:r>
        <w:rPr>
          <w:rFonts w:hint="eastAsia" w:ascii="仿宋" w:hAnsi="仿宋" w:eastAsia="仿宋" w:cs="仿宋"/>
          <w:b/>
          <w:bCs/>
          <w:color w:val="auto"/>
          <w:sz w:val="28"/>
          <w:szCs w:val="28"/>
        </w:rPr>
        <w:t>易燃液体应急处置</w:t>
      </w:r>
      <w:r>
        <w:rPr>
          <w:rFonts w:hint="eastAsia" w:ascii="仿宋" w:hAnsi="仿宋" w:eastAsia="仿宋" w:cs="仿宋"/>
          <w:color w:val="auto"/>
          <w:sz w:val="28"/>
          <w:szCs w:val="28"/>
        </w:rPr>
        <w:t>（包括有毒的、腐蚀性的、遇水反应的）</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 xml:space="preserve"> 需配备的专用应急器材：防护服（手套、靴子、连体工作服、安全帽）、自给式空气呼吸器、喷雾水枪。</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泄漏应急行动：如在室内泄漏，应进行充分通风。应及时用沙土覆盖或用松软的材料吸附易燃液体，集中收集后移到空旷安全处销毁。急救时应防止液体流入水道、河流造成污染，或引起火灾、爆炸。</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火灾（爆炸）应急行动：应使用干粉灭火，或其他非水灭火装置灭火。在条件允许的情况下，应迅速转移可能卷入火中的其他易燃液体容器。</w:t>
      </w:r>
    </w:p>
    <w:p>
      <w:pPr>
        <w:spacing w:line="360" w:lineRule="auto"/>
        <w:ind w:firstLine="562" w:firstLineChars="200"/>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3.4.4.5 </w:t>
      </w:r>
      <w:r>
        <w:rPr>
          <w:rFonts w:hint="eastAsia" w:ascii="仿宋" w:hAnsi="仿宋" w:eastAsia="仿宋" w:cs="仿宋"/>
          <w:b/>
          <w:bCs/>
          <w:color w:val="auto"/>
          <w:sz w:val="28"/>
          <w:szCs w:val="28"/>
        </w:rPr>
        <w:t>易燃固体应急处置</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需配备的专用应急器材：防护服（手套、靴子、连体工作服、安全帽）、自给式空气呼吸器、喷雾水枪、惰性材料。</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泄漏应急装置：如实际可行，应收集起泄漏物，并重新包装。</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火灾（爆炸）应急行动：用水冷却物品和包件，并在可能时将其转移，应使用雾状水，不得使用水射流。</w:t>
      </w:r>
    </w:p>
    <w:p>
      <w:pPr>
        <w:spacing w:line="360" w:lineRule="auto"/>
        <w:ind w:firstLine="562" w:firstLineChars="200"/>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3.4.4.6 </w:t>
      </w:r>
      <w:r>
        <w:rPr>
          <w:rFonts w:hint="eastAsia" w:ascii="仿宋" w:hAnsi="仿宋" w:eastAsia="仿宋" w:cs="仿宋"/>
          <w:b/>
          <w:bCs/>
          <w:color w:val="auto"/>
          <w:sz w:val="28"/>
          <w:szCs w:val="28"/>
        </w:rPr>
        <w:t>易自燃物质应急处置</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需配备的专用应急器材：防护服（手套、靴子、连体工作服、安全帽）、自给式空气呼吸器、喷雾水枪、惰性材料。</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泄漏应急行动：易自燃物质泄漏会导致火灾，应使用惰性材料收集，使其窒息，应迅速将未损坏的容器转移到安全地带。</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火灾（爆炸）应急行动：在尽可能远的地方用消防管喷射水雾。</w:t>
      </w:r>
    </w:p>
    <w:p>
      <w:pPr>
        <w:spacing w:line="360" w:lineRule="auto"/>
        <w:ind w:firstLine="562" w:firstLineChars="200"/>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3.4.4.7 </w:t>
      </w:r>
      <w:r>
        <w:rPr>
          <w:rFonts w:hint="eastAsia" w:ascii="仿宋" w:hAnsi="仿宋" w:eastAsia="仿宋" w:cs="仿宋"/>
          <w:b/>
          <w:bCs/>
          <w:color w:val="auto"/>
          <w:sz w:val="28"/>
          <w:szCs w:val="28"/>
        </w:rPr>
        <w:t>氧化物应急处置</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需配备的专用应急器材：防护服（手套、靴子、连体工作服、安全帽）、自给式空气呼吸器、喷雾水枪、惰性材料。</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泄漏应急行动：根据货物特性，使用惰性材料收集，不得使用木屑或娶她易燃材料作为吸收物，收集后放在适当地点观察，确认不会发生意外，再入库存放。</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火灾（爆炸）应急行动：在尽可能远的地方使用大量的水喷射，迅速转移可能卷入火中的容器，或用大量水对其他容器进行冷却。</w:t>
      </w:r>
    </w:p>
    <w:p>
      <w:pPr>
        <w:spacing w:line="360" w:lineRule="auto"/>
        <w:ind w:firstLine="843" w:firstLineChars="300"/>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3.4.4.8 </w:t>
      </w:r>
      <w:r>
        <w:rPr>
          <w:rFonts w:hint="eastAsia" w:ascii="仿宋" w:hAnsi="仿宋" w:eastAsia="仿宋" w:cs="仿宋"/>
          <w:b/>
          <w:bCs/>
          <w:color w:val="auto"/>
          <w:sz w:val="28"/>
          <w:szCs w:val="28"/>
        </w:rPr>
        <w:t>过氧化物应急处置</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需配备的专用应急器材：防护手套、靴子、护目镜、自给式空气呼吸器、喷雾水枪。</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泄漏应急行动：如可行，应迅速阻止泄漏。</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火灾（爆炸）应急行动：在尽可能远的地方用雾状水灭火，避免使用水射流。当火灾扑灭后，应当仍然保持对火场的监视，并尽可能与容器制造商联系，取得支持。</w:t>
      </w:r>
    </w:p>
    <w:p>
      <w:pPr>
        <w:spacing w:line="360" w:lineRule="auto"/>
        <w:ind w:firstLine="562" w:firstLineChars="200"/>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3.4.4.9 </w:t>
      </w:r>
      <w:r>
        <w:rPr>
          <w:rFonts w:hint="eastAsia" w:ascii="仿宋" w:hAnsi="仿宋" w:eastAsia="仿宋" w:cs="仿宋"/>
          <w:b/>
          <w:bCs/>
          <w:color w:val="auto"/>
          <w:sz w:val="28"/>
          <w:szCs w:val="28"/>
        </w:rPr>
        <w:t>有毒液体应急处置</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需配备的专用应急器材：防护服（手套、靴子、连体工作服、安全帽）、自给式空气呼吸器、喷雾水枪、惰性材料。</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泄漏应急行动：如实际可行，应使用吸收材料收集泄漏物。如泄漏发生在封闭区域，应立即进行通风。</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火灾（爆炸）应急行动：用大量水或其他方式灭火，对可能卷入火中的容器，应使用大量水进行冷却。</w:t>
      </w:r>
    </w:p>
    <w:p>
      <w:pPr>
        <w:spacing w:line="360" w:lineRule="auto"/>
        <w:ind w:firstLine="562" w:firstLineChars="200"/>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3.4.4.10 </w:t>
      </w:r>
      <w:r>
        <w:rPr>
          <w:rFonts w:hint="eastAsia" w:ascii="仿宋" w:hAnsi="仿宋" w:eastAsia="仿宋" w:cs="仿宋"/>
          <w:b/>
          <w:bCs/>
          <w:color w:val="auto"/>
          <w:sz w:val="28"/>
          <w:szCs w:val="28"/>
        </w:rPr>
        <w:t>有毒固体应急处置</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需配备的专用应急器材：全套防护服（手套、靴子、连体工作服、安全帽、护目镜）、自给式空气呼吸器、喷雾水枪。</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泄漏应急行动：如实际可行，应收集泄漏物。以便安全处置。</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火灾（爆炸）应急行动：用大量水或其他方式灭火，对可能卷入火中的容器，应使用大量水冷却。</w:t>
      </w:r>
    </w:p>
    <w:p>
      <w:pPr>
        <w:spacing w:line="360" w:lineRule="auto"/>
        <w:ind w:firstLine="562" w:firstLineChars="200"/>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3.4.4.11 </w:t>
      </w:r>
      <w:r>
        <w:rPr>
          <w:rFonts w:hint="eastAsia" w:ascii="仿宋" w:hAnsi="仿宋" w:eastAsia="仿宋" w:cs="仿宋"/>
          <w:b/>
          <w:bCs/>
          <w:color w:val="auto"/>
          <w:sz w:val="28"/>
          <w:szCs w:val="28"/>
        </w:rPr>
        <w:t>溶融的有毒物质应急处置</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需配备的专用应急器材：防护服（手套、靴子、连体工作服、安全帽）、自给式空气呼吸器、喷雾水枪、惰性材料。</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泄漏应急行动：隔开热源，让其凝固，可能的话堵住泄漏。如实际可行，收集泄漏物，以便安全处置。</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火灾（爆炸）应急行动：使用大量水或其他灭火剂灭火。</w:t>
      </w:r>
    </w:p>
    <w:p>
      <w:pPr>
        <w:spacing w:line="360" w:lineRule="auto"/>
        <w:ind w:firstLine="562" w:firstLineChars="200"/>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3.4.4.12 </w:t>
      </w:r>
      <w:r>
        <w:rPr>
          <w:rFonts w:hint="eastAsia" w:ascii="仿宋" w:hAnsi="仿宋" w:eastAsia="仿宋" w:cs="仿宋"/>
          <w:b/>
          <w:bCs/>
          <w:color w:val="auto"/>
          <w:sz w:val="28"/>
          <w:szCs w:val="28"/>
        </w:rPr>
        <w:t>腐蚀性物质应急处置</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需配备的专用应急器材：防护服（手套、靴子、连体工作服、安全帽）、自给式空气呼吸器、喷雾水枪。</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泄漏应急行动：根据货物的酸碱性，用稀酸或稀碱中和。</w:t>
      </w:r>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火灾（爆炸）应急行动：使用水雾或水射流，保持临近容器的冷却，如有可能，迅速转移卷入火中的容器。</w:t>
      </w:r>
      <w:bookmarkStart w:id="37" w:name="_Toc10452"/>
      <w:bookmarkStart w:id="38" w:name="_Toc28115"/>
    </w:p>
    <w:p>
      <w:pPr>
        <w:spacing w:line="360" w:lineRule="auto"/>
        <w:ind w:firstLine="562" w:firstLineChars="200"/>
        <w:rPr>
          <w:rFonts w:hint="eastAsia" w:ascii="仿宋" w:hAnsi="仿宋" w:eastAsia="仿宋" w:cs="仿宋"/>
          <w:b/>
          <w:bCs/>
          <w:color w:val="auto"/>
          <w:sz w:val="28"/>
          <w:szCs w:val="28"/>
          <w:lang w:val="en-US" w:eastAsia="zh-CN"/>
        </w:rPr>
      </w:pPr>
    </w:p>
    <w:p>
      <w:pPr>
        <w:spacing w:line="360" w:lineRule="auto"/>
        <w:ind w:firstLine="562" w:firstLineChars="200"/>
        <w:outlineLvl w:val="0"/>
        <w:rPr>
          <w:rFonts w:hint="eastAsia" w:ascii="仿宋" w:hAnsi="仿宋" w:eastAsia="仿宋" w:cs="仿宋"/>
          <w:b/>
          <w:bCs/>
          <w:color w:val="auto"/>
          <w:sz w:val="28"/>
          <w:szCs w:val="28"/>
        </w:rPr>
      </w:pPr>
      <w:bookmarkStart w:id="39" w:name="_Toc26753"/>
      <w:r>
        <w:rPr>
          <w:rFonts w:hint="eastAsia" w:ascii="仿宋" w:hAnsi="仿宋" w:eastAsia="仿宋" w:cs="仿宋"/>
          <w:b/>
          <w:bCs/>
          <w:color w:val="auto"/>
          <w:sz w:val="28"/>
          <w:szCs w:val="28"/>
          <w:lang w:val="en-US" w:eastAsia="zh-CN"/>
        </w:rPr>
        <w:t>4、</w:t>
      </w:r>
      <w:r>
        <w:rPr>
          <w:rFonts w:hint="eastAsia" w:ascii="仿宋" w:hAnsi="仿宋" w:eastAsia="仿宋" w:cs="仿宋"/>
          <w:b/>
          <w:bCs/>
          <w:color w:val="auto"/>
          <w:sz w:val="28"/>
          <w:szCs w:val="28"/>
        </w:rPr>
        <w:t>应急堵漏、卸载等污染控制方案</w:t>
      </w:r>
      <w:bookmarkEnd w:id="37"/>
      <w:bookmarkEnd w:id="38"/>
      <w:bookmarkEnd w:id="39"/>
      <w:bookmarkStart w:id="40" w:name="_Toc26934"/>
      <w:bookmarkStart w:id="41" w:name="_Toc23149"/>
    </w:p>
    <w:p>
      <w:pPr>
        <w:spacing w:line="360" w:lineRule="auto"/>
        <w:ind w:firstLine="562" w:firstLineChars="200"/>
        <w:outlineLvl w:val="1"/>
        <w:rPr>
          <w:rFonts w:hint="eastAsia" w:ascii="仿宋" w:hAnsi="仿宋" w:eastAsia="仿宋" w:cs="仿宋"/>
          <w:b/>
          <w:bCs/>
          <w:iCs/>
          <w:color w:val="auto"/>
          <w:sz w:val="28"/>
          <w:szCs w:val="28"/>
        </w:rPr>
      </w:pPr>
      <w:bookmarkStart w:id="42" w:name="_Toc29967"/>
      <w:r>
        <w:rPr>
          <w:rFonts w:hint="eastAsia" w:ascii="仿宋" w:hAnsi="仿宋" w:eastAsia="仿宋" w:cs="仿宋"/>
          <w:b/>
          <w:bCs/>
          <w:iCs/>
          <w:color w:val="auto"/>
          <w:sz w:val="28"/>
          <w:szCs w:val="28"/>
          <w:lang w:val="en-US" w:eastAsia="zh-CN"/>
        </w:rPr>
        <w:t xml:space="preserve">4.1 </w:t>
      </w:r>
      <w:r>
        <w:rPr>
          <w:rFonts w:hint="eastAsia" w:ascii="仿宋" w:hAnsi="仿宋" w:eastAsia="仿宋" w:cs="仿宋"/>
          <w:b/>
          <w:bCs/>
          <w:iCs/>
          <w:color w:val="auto"/>
          <w:sz w:val="28"/>
          <w:szCs w:val="28"/>
        </w:rPr>
        <w:t>应急堵漏方案</w:t>
      </w:r>
      <w:bookmarkEnd w:id="40"/>
      <w:bookmarkEnd w:id="41"/>
      <w:bookmarkEnd w:id="42"/>
    </w:p>
    <w:p>
      <w:pPr>
        <w:spacing w:line="360" w:lineRule="auto"/>
        <w:ind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rPr>
        <w:t>由于每艘船舶自备一定量的堵漏器材，如堵漏毯、堵漏板、堵漏箱、堵漏螺杆、堵漏柱、木塞、木楔、橡皮、毡子、水泥、沙子等等，因此当船体发生破损，第一时间由船方采取应急堵漏措施。</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公司应急人员到达现场后，首先考虑就地取材，使用船舶本身的堵漏器材。特殊情况时，在破口范围超过船舶自备的堵漏器材能力时，本公司将依据现场勘验情况，立即定制并准备其他堵漏器材，同时在泄漏点四周布设围油栏。破口较大时，在堵漏同时采取应急卸载和转驳。</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应急堵漏处理原则：安全、快捷。</w:t>
      </w:r>
    </w:p>
    <w:p>
      <w:pPr>
        <w:pStyle w:val="26"/>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bookmarkStart w:id="43" w:name="_Toc1999"/>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.1.1</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破口在水线以上的应急堵漏方案</w:t>
      </w:r>
      <w:bookmarkEnd w:id="43"/>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破口在船舶水线以上的应急堵漏不考虑甲板和甲板管路应急堵漏以及船壳小裂缝的情况。水线上出现破洞，船舶首先考虑在不影响船舶自身安全（密切关注稳性、浮性）的前提下，转载破损舱的污染物，对称灌注（应急卸载部分见</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.2部分）。</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小的破口主要考虑木塞、木楔；大的破口主要考虑钩头螺杆（一个或多个）。破洞的卷口通常有向外和向内2种情形，考虑到卷口向外时，堵漏箱在实际应用中难以固定（特别是船壳）。为了避免事故船舶的二次污染，本公司主要考虑是冷工（打孔）作业处理。</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b/>
          <w:color w:val="auto"/>
          <w:sz w:val="21"/>
          <w:szCs w:val="21"/>
        </w:rPr>
      </w:pPr>
      <w:r>
        <w:rPr>
          <w:rFonts w:hint="eastAsia" w:ascii="仿宋" w:hAnsi="仿宋" w:eastAsia="仿宋" w:cs="仿宋"/>
          <w:color w:val="auto"/>
          <w:sz w:val="28"/>
          <w:szCs w:val="28"/>
        </w:rPr>
        <w:t>参考处理办法示意图见图</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-1。</w:t>
      </w:r>
    </w:p>
    <w:p>
      <w:pPr>
        <w:spacing w:line="240" w:lineRule="auto"/>
        <w:jc w:val="both"/>
        <w:rPr>
          <w:rFonts w:hint="eastAsia" w:ascii="仿宋" w:hAnsi="仿宋" w:eastAsia="仿宋" w:cs="仿宋"/>
          <w:b/>
          <w:color w:val="auto"/>
          <w:sz w:val="21"/>
          <w:szCs w:val="21"/>
        </w:rPr>
      </w:pPr>
      <w:r>
        <w:rPr>
          <w:rFonts w:hint="eastAsia" w:ascii="仿宋" w:hAnsi="仿宋" w:eastAsia="仿宋" w:cs="仿宋"/>
          <w:b/>
          <w:color w:val="auto"/>
          <w:sz w:val="21"/>
          <w:szCs w:val="21"/>
          <w:lang w:val="en-US" w:eastAsia="zh-CN"/>
        </w:rPr>
        <w:t xml:space="preserve">              </w:t>
      </w:r>
      <w:r>
        <w:rPr>
          <w:rFonts w:hint="eastAsia" w:ascii="仿宋" w:hAnsi="仿宋" w:eastAsia="仿宋" w:cs="仿宋"/>
          <w:b/>
          <w:color w:val="auto"/>
          <w:sz w:val="21"/>
          <w:szCs w:val="21"/>
          <w:lang w:eastAsia="zh-CN"/>
        </w:rPr>
        <w:drawing>
          <wp:inline distT="0" distB="0" distL="114300" distR="114300">
            <wp:extent cx="3783330" cy="1464310"/>
            <wp:effectExtent l="0" t="0" r="7620" b="2540"/>
            <wp:docPr id="4" name="图片 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1"/>
                    <pic:cNvPicPr>
                      <a:picLocks noChangeAspect="1"/>
                    </pic:cNvPicPr>
                  </pic:nvPicPr>
                  <pic:blipFill>
                    <a:blip r:embed="rId9"/>
                    <a:stretch>
                      <a:fillRect/>
                    </a:stretch>
                  </pic:blipFill>
                  <pic:spPr>
                    <a:xfrm>
                      <a:off x="0" y="0"/>
                      <a:ext cx="3783330" cy="1464310"/>
                    </a:xfrm>
                    <a:prstGeom prst="rect">
                      <a:avLst/>
                    </a:prstGeom>
                  </pic:spPr>
                </pic:pic>
              </a:graphicData>
            </a:graphic>
          </wp:inline>
        </w:drawing>
      </w:r>
    </w:p>
    <w:p>
      <w:pPr>
        <w:keepLines w:val="0"/>
        <w:pageBreakBefore w:val="0"/>
        <w:widowControl/>
        <w:kinsoku/>
        <w:wordWrap/>
        <w:overflowPunct/>
        <w:topLinePunct w:val="0"/>
        <w:autoSpaceDE/>
        <w:autoSpaceDN/>
        <w:bidi w:val="0"/>
        <w:adjustRightInd/>
        <w:snapToGrid/>
        <w:spacing w:line="360" w:lineRule="auto"/>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bookmarkStart w:id="112" w:name="_GoBack"/>
      <w:r>
        <w:rPr>
          <w:rFonts w:hint="eastAsia" w:ascii="仿宋" w:hAnsi="仿宋" w:eastAsia="仿宋" w:cs="仿宋"/>
          <w:color w:val="auto"/>
          <w:sz w:val="28"/>
          <w:szCs w:val="28"/>
          <w:lang w:eastAsia="zh-CN"/>
        </w:rPr>
        <w:drawing>
          <wp:inline distT="0" distB="0" distL="114300" distR="114300">
            <wp:extent cx="3722370" cy="1472565"/>
            <wp:effectExtent l="0" t="0" r="11430" b="13335"/>
            <wp:docPr id="5" name="图片 5"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片2"/>
                    <pic:cNvPicPr>
                      <a:picLocks noChangeAspect="1"/>
                    </pic:cNvPicPr>
                  </pic:nvPicPr>
                  <pic:blipFill>
                    <a:blip r:embed="rId10"/>
                    <a:stretch>
                      <a:fillRect/>
                    </a:stretch>
                  </pic:blipFill>
                  <pic:spPr>
                    <a:xfrm>
                      <a:off x="0" y="0"/>
                      <a:ext cx="3722370" cy="1472565"/>
                    </a:xfrm>
                    <a:prstGeom prst="rect">
                      <a:avLst/>
                    </a:prstGeom>
                  </pic:spPr>
                </pic:pic>
              </a:graphicData>
            </a:graphic>
          </wp:inline>
        </w:drawing>
      </w:r>
      <w:bookmarkEnd w:id="112"/>
    </w:p>
    <w:p>
      <w:pPr>
        <w:spacing w:line="480" w:lineRule="exact"/>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4</w:t>
      </w:r>
      <w:r>
        <w:rPr>
          <w:rFonts w:hint="eastAsia" w:ascii="仿宋" w:hAnsi="仿宋" w:eastAsia="仿宋" w:cs="仿宋"/>
          <w:b/>
          <w:color w:val="auto"/>
          <w:sz w:val="24"/>
          <w:szCs w:val="24"/>
        </w:rPr>
        <w:t>-1 水线以上破口应急堵漏示意图</w:t>
      </w:r>
      <w:bookmarkStart w:id="44" w:name="_Toc14587"/>
    </w:p>
    <w:p>
      <w:pPr>
        <w:spacing w:line="480" w:lineRule="exact"/>
        <w:jc w:val="center"/>
        <w:rPr>
          <w:rFonts w:hint="eastAsia" w:ascii="仿宋" w:hAnsi="仿宋" w:eastAsia="仿宋" w:cs="仿宋"/>
          <w:b/>
          <w:color w:val="auto"/>
          <w:sz w:val="24"/>
          <w:szCs w:val="24"/>
          <w:lang w:val="en-US" w:eastAsia="zh-CN"/>
        </w:rPr>
      </w:pPr>
    </w:p>
    <w:p>
      <w:pPr>
        <w:pStyle w:val="26"/>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4</w:t>
      </w:r>
      <w:r>
        <w:rPr>
          <w:rFonts w:hint="eastAsia" w:ascii="仿宋" w:hAnsi="仿宋" w:eastAsia="仿宋" w:cs="仿宋"/>
          <w:b/>
          <w:bCs/>
          <w:color w:val="auto"/>
          <w:sz w:val="28"/>
          <w:szCs w:val="28"/>
        </w:rPr>
        <w:t>.1.2</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破口在水线以下的应急堵漏</w:t>
      </w:r>
      <w:bookmarkEnd w:id="44"/>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在这种情况下，首先考虑应急卸载，使得破损舱污染物液面下降到水线附近（最好是船体外部海水产生的压力略大于舱内污染物产生的压力）。这时，依据破口大小，按照上述的方法，由现场海事管理机构协调，由外来协助单位派潜水员予以处理。</w:t>
      </w:r>
    </w:p>
    <w:p>
      <w:pPr>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outlineLvl w:val="9"/>
        <w:rPr>
          <w:rFonts w:hint="eastAsia" w:ascii="仿宋" w:hAnsi="仿宋" w:eastAsia="仿宋" w:cs="仿宋"/>
          <w:b/>
          <w:color w:val="auto"/>
          <w:sz w:val="28"/>
          <w:szCs w:val="28"/>
        </w:rPr>
      </w:pPr>
      <w:r>
        <w:rPr>
          <w:rFonts w:hint="eastAsia" w:ascii="仿宋" w:hAnsi="仿宋" w:eastAsia="仿宋" w:cs="仿宋"/>
          <w:b/>
          <w:color w:val="auto"/>
          <w:sz w:val="28"/>
          <w:szCs w:val="28"/>
        </w:rPr>
        <w:t>堵漏作业注意事项：</w:t>
      </w:r>
    </w:p>
    <w:p>
      <w:pPr>
        <w:keepLines w:val="0"/>
        <w:pageBreakBefore w:val="0"/>
        <w:widowControl/>
        <w:numPr>
          <w:ilvl w:val="0"/>
          <w:numId w:val="1"/>
        </w:numPr>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rPr>
        <w:t>首先从船方获得油品火灾爆炸危险性、毒害性等安全及应急措施信息，必须采取防爆措施，采用防爆堵漏用具；作业人员应穿上防护衣、防护鞋、戴上防护眼镜和防护手套</w:t>
      </w:r>
      <w:r>
        <w:rPr>
          <w:rFonts w:hint="eastAsia" w:ascii="仿宋" w:hAnsi="仿宋" w:eastAsia="仿宋" w:cs="仿宋"/>
          <w:color w:val="auto"/>
          <w:sz w:val="28"/>
          <w:szCs w:val="28"/>
          <w:lang w:eastAsia="zh-CN"/>
        </w:rPr>
        <w:t>。</w:t>
      </w:r>
    </w:p>
    <w:p>
      <w:pPr>
        <w:keepLines w:val="0"/>
        <w:pageBreakBefore w:val="0"/>
        <w:widowControl/>
        <w:numPr>
          <w:ilvl w:val="0"/>
          <w:numId w:val="1"/>
        </w:numPr>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船体破损的情况（破口形状、大小、液体压力等）</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评估本公司堵漏用具的适用性及堵漏作业的可行性和安全性</w:t>
      </w:r>
      <w:r>
        <w:rPr>
          <w:rFonts w:hint="eastAsia" w:ascii="仿宋" w:hAnsi="仿宋" w:eastAsia="仿宋" w:cs="仿宋"/>
          <w:color w:val="auto"/>
          <w:sz w:val="28"/>
          <w:szCs w:val="28"/>
          <w:lang w:eastAsia="zh-CN"/>
        </w:rPr>
        <w:t>。</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事故现场的风、浪、流情况，需符合安全作业条件</w:t>
      </w:r>
      <w:r>
        <w:rPr>
          <w:rFonts w:hint="eastAsia" w:ascii="仿宋" w:hAnsi="仿宋" w:eastAsia="仿宋" w:cs="仿宋"/>
          <w:color w:val="auto"/>
          <w:sz w:val="28"/>
          <w:szCs w:val="28"/>
          <w:lang w:eastAsia="zh-CN"/>
        </w:rPr>
        <w:t>。</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进行堵漏作业时，必须有安全监护</w:t>
      </w:r>
      <w:r>
        <w:rPr>
          <w:rFonts w:hint="eastAsia" w:ascii="仿宋" w:hAnsi="仿宋" w:eastAsia="仿宋" w:cs="仿宋"/>
          <w:color w:val="auto"/>
          <w:sz w:val="28"/>
          <w:szCs w:val="28"/>
          <w:lang w:eastAsia="zh-CN"/>
        </w:rPr>
        <w:t>。</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（5）一旦出现危险情景，应立即停止堵漏作业。</w:t>
      </w:r>
    </w:p>
    <w:p>
      <w:pPr>
        <w:pStyle w:val="24"/>
        <w:keepNext/>
        <w:keepLines w:val="0"/>
        <w:pageBreakBefore w:val="0"/>
        <w:widowControl/>
        <w:kinsoku/>
        <w:wordWrap/>
        <w:overflowPunct/>
        <w:topLinePunct w:val="0"/>
        <w:autoSpaceDE/>
        <w:autoSpaceDN/>
        <w:bidi w:val="0"/>
        <w:adjustRightInd/>
        <w:snapToGrid/>
        <w:spacing w:before="164" w:beforeLines="50" w:after="164" w:afterLines="50" w:line="360" w:lineRule="auto"/>
        <w:jc w:val="both"/>
        <w:textAlignment w:val="auto"/>
        <w:outlineLvl w:val="1"/>
        <w:rPr>
          <w:rFonts w:hint="eastAsia" w:ascii="仿宋" w:hAnsi="仿宋" w:eastAsia="仿宋" w:cs="仿宋"/>
          <w:b/>
          <w:bCs/>
          <w:iCs/>
          <w:color w:val="auto"/>
          <w:sz w:val="28"/>
          <w:szCs w:val="28"/>
        </w:rPr>
      </w:pPr>
      <w:bookmarkStart w:id="45" w:name="_Toc13276"/>
      <w:bookmarkStart w:id="46" w:name="_Toc14846"/>
      <w:bookmarkStart w:id="47" w:name="_Toc10936"/>
      <w:r>
        <w:rPr>
          <w:rFonts w:hint="eastAsia" w:ascii="仿宋" w:hAnsi="仿宋" w:eastAsia="仿宋" w:cs="仿宋"/>
          <w:b/>
          <w:bCs/>
          <w:iCs/>
          <w:color w:val="auto"/>
          <w:sz w:val="28"/>
          <w:szCs w:val="28"/>
          <w:lang w:val="en-US" w:eastAsia="zh-CN"/>
        </w:rPr>
        <w:t>4</w:t>
      </w:r>
      <w:r>
        <w:rPr>
          <w:rFonts w:hint="eastAsia" w:ascii="仿宋" w:hAnsi="仿宋" w:eastAsia="仿宋" w:cs="仿宋"/>
          <w:b/>
          <w:bCs/>
          <w:iCs/>
          <w:color w:val="auto"/>
          <w:sz w:val="28"/>
          <w:szCs w:val="28"/>
        </w:rPr>
        <w:t>.2</w:t>
      </w:r>
      <w:r>
        <w:rPr>
          <w:rFonts w:hint="eastAsia" w:ascii="仿宋" w:hAnsi="仿宋" w:eastAsia="仿宋" w:cs="仿宋"/>
          <w:b/>
          <w:bCs/>
          <w:iCs/>
          <w:color w:val="auto"/>
          <w:sz w:val="28"/>
          <w:szCs w:val="28"/>
          <w:lang w:val="en-US" w:eastAsia="zh-CN"/>
        </w:rPr>
        <w:t xml:space="preserve"> </w:t>
      </w:r>
      <w:r>
        <w:rPr>
          <w:rFonts w:hint="eastAsia" w:ascii="仿宋" w:hAnsi="仿宋" w:eastAsia="仿宋" w:cs="仿宋"/>
          <w:b/>
          <w:bCs/>
          <w:iCs/>
          <w:color w:val="auto"/>
          <w:sz w:val="28"/>
          <w:szCs w:val="28"/>
        </w:rPr>
        <w:t>应急卸载方案</w:t>
      </w:r>
      <w:bookmarkEnd w:id="45"/>
      <w:bookmarkEnd w:id="46"/>
      <w:bookmarkEnd w:id="47"/>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当船舶发生碰撞、搁浅或沉没时，将油舱或燃料舱中的油品转移到其他油驳，从而在事故第一时间在源头上控制溢油事故规模。</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1）事故船舶采取转载行动之前，务必对剩余稳性、船体强度、破船稳性等等进行计算，并在海事管理机构确认同意的情况下，本公司依据事故船舶提供的信息（包括泄漏污染物的名称、安全数据MSDS、计划卸载数量等等），调集本公司相匹配的船舶（作业船舶的承载能力必须不小于事故船计划转载量）对污染物进行接收转载。</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（2）事故船本身的装卸能力不受影响，则可近似为船靠船过驳作业。相关作业注意事项，参照本公司船舶污油接收和清舱作业的安全规程。</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（3）事故船舶丧失装卸能力，由本公司提供便携式卸载泵，进行应急卸载作业处理。必要时，可酌情考虑对事故船舶的船体冷工开口处理。</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（4）应急卸载作业前应进行安全检查，见附表1。</w:t>
      </w:r>
    </w:p>
    <w:p>
      <w:pPr>
        <w:spacing w:line="360" w:lineRule="auto"/>
        <w:jc w:val="both"/>
        <w:rPr>
          <w:rFonts w:hint="eastAsia" w:ascii="仿宋" w:hAnsi="仿宋" w:eastAsia="仿宋" w:cs="仿宋"/>
          <w:color w:val="auto"/>
          <w:sz w:val="28"/>
          <w:szCs w:val="28"/>
        </w:rPr>
      </w:pPr>
      <w:r>
        <w:rPr>
          <w:rFonts w:hint="eastAsia" w:ascii="仿宋" w:hAnsi="仿宋" w:eastAsia="仿宋" w:cs="仿宋"/>
          <w:color w:val="auto"/>
          <w:sz w:val="28"/>
          <w:szCs w:val="28"/>
        </w:rPr>
        <w:t>应急卸载方案包括卸载泵的准备及装运、现场使用及应急结束后的处理。</w:t>
      </w:r>
    </w:p>
    <w:p>
      <w:pPr>
        <w:spacing w:line="360" w:lineRule="auto"/>
        <w:ind w:firstLine="562" w:firstLineChars="200"/>
        <w:jc w:val="both"/>
        <w:rPr>
          <w:rFonts w:hint="eastAsia" w:ascii="仿宋" w:hAnsi="仿宋" w:eastAsia="仿宋" w:cs="仿宋"/>
          <w:b/>
          <w:bCs/>
          <w:color w:val="auto"/>
          <w:sz w:val="28"/>
          <w:szCs w:val="28"/>
        </w:rPr>
      </w:pPr>
      <w:bookmarkStart w:id="48" w:name="_Toc13510"/>
      <w:bookmarkStart w:id="49" w:name="_Toc1806"/>
      <w:r>
        <w:rPr>
          <w:rFonts w:hint="eastAsia" w:ascii="仿宋" w:hAnsi="仿宋" w:eastAsia="仿宋" w:cs="仿宋"/>
          <w:b/>
          <w:bCs/>
          <w:color w:val="auto"/>
          <w:sz w:val="28"/>
          <w:szCs w:val="28"/>
          <w:lang w:val="en-US" w:eastAsia="zh-CN"/>
        </w:rPr>
        <w:t>4</w:t>
      </w:r>
      <w:r>
        <w:rPr>
          <w:rFonts w:hint="eastAsia" w:ascii="仿宋" w:hAnsi="仿宋" w:eastAsia="仿宋" w:cs="仿宋"/>
          <w:b/>
          <w:bCs/>
          <w:color w:val="auto"/>
          <w:sz w:val="28"/>
          <w:szCs w:val="28"/>
        </w:rPr>
        <w:t>.2.1本公司应急卸载泵的配备情况</w:t>
      </w:r>
      <w:bookmarkEnd w:id="48"/>
      <w:bookmarkEnd w:id="49"/>
    </w:p>
    <w:p>
      <w:pPr>
        <w:spacing w:line="360" w:lineRule="auto"/>
        <w:ind w:firstLine="480"/>
        <w:jc w:val="both"/>
        <w:rPr>
          <w:rFonts w:hint="eastAsia" w:ascii="仿宋" w:hAnsi="仿宋" w:eastAsia="仿宋" w:cs="仿宋"/>
          <w:color w:val="auto"/>
          <w:sz w:val="28"/>
          <w:szCs w:val="28"/>
        </w:rPr>
      </w:pPr>
      <w:r>
        <w:rPr>
          <w:rFonts w:hint="eastAsia" w:ascii="仿宋" w:hAnsi="仿宋" w:eastAsia="仿宋" w:cs="仿宋"/>
          <w:color w:val="auto"/>
          <w:sz w:val="28"/>
          <w:szCs w:val="28"/>
        </w:rPr>
        <w:t>本公司有自配应急卸载泵二套，卸载排量可自行调节，总卸载能力达到200m³/h</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详见表</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-1。</w:t>
      </w:r>
    </w:p>
    <w:p>
      <w:pPr>
        <w:spacing w:line="480" w:lineRule="exact"/>
        <w:jc w:val="center"/>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4</w:t>
      </w:r>
      <w:r>
        <w:rPr>
          <w:rFonts w:hint="eastAsia" w:ascii="仿宋" w:hAnsi="仿宋" w:eastAsia="仿宋" w:cs="仿宋"/>
          <w:b/>
          <w:color w:val="auto"/>
          <w:sz w:val="28"/>
          <w:szCs w:val="28"/>
        </w:rPr>
        <w:t>-1 应急卸载泵配备情况表</w:t>
      </w:r>
    </w:p>
    <w:tbl>
      <w:tblPr>
        <w:tblStyle w:val="13"/>
        <w:tblW w:w="8288" w:type="dxa"/>
        <w:tblInd w:w="108" w:type="dxa"/>
        <w:tblLayout w:type="autofit"/>
        <w:tblCellMar>
          <w:top w:w="0" w:type="dxa"/>
          <w:left w:w="108" w:type="dxa"/>
          <w:bottom w:w="0" w:type="dxa"/>
          <w:right w:w="108" w:type="dxa"/>
        </w:tblCellMar>
      </w:tblPr>
      <w:tblGrid>
        <w:gridCol w:w="948"/>
        <w:gridCol w:w="1260"/>
        <w:gridCol w:w="930"/>
        <w:gridCol w:w="1545"/>
        <w:gridCol w:w="3605"/>
      </w:tblGrid>
      <w:tr>
        <w:tblPrEx>
          <w:tblCellMar>
            <w:top w:w="0" w:type="dxa"/>
            <w:left w:w="108" w:type="dxa"/>
            <w:bottom w:w="0" w:type="dxa"/>
            <w:right w:w="108" w:type="dxa"/>
          </w:tblCellMar>
        </w:tblPrEx>
        <w:tc>
          <w:tcPr>
            <w:tcW w:w="948" w:type="dxa"/>
            <w:tcBorders>
              <w:top w:val="single" w:color="auto" w:sz="12" w:space="0"/>
              <w:left w:val="single" w:color="auto" w:sz="12" w:space="0"/>
              <w:bottom w:val="single" w:color="auto" w:sz="4" w:space="0"/>
              <w:right w:val="single" w:color="auto" w:sz="4" w:space="0"/>
            </w:tcBorders>
            <w:noWrap w:val="0"/>
            <w:vAlign w:val="center"/>
          </w:tcPr>
          <w:p>
            <w:pPr>
              <w:spacing w:line="400" w:lineRule="exact"/>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序号</w:t>
            </w:r>
          </w:p>
        </w:tc>
        <w:tc>
          <w:tcPr>
            <w:tcW w:w="1260" w:type="dxa"/>
            <w:tcBorders>
              <w:top w:val="single" w:color="auto" w:sz="12" w:space="0"/>
              <w:left w:val="single" w:color="auto" w:sz="4" w:space="0"/>
              <w:bottom w:val="single" w:color="auto" w:sz="4" w:space="0"/>
              <w:right w:val="single" w:color="auto" w:sz="4" w:space="0"/>
            </w:tcBorders>
            <w:noWrap w:val="0"/>
            <w:vAlign w:val="center"/>
          </w:tcPr>
          <w:p>
            <w:pPr>
              <w:spacing w:line="400" w:lineRule="exact"/>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型号</w:t>
            </w:r>
          </w:p>
        </w:tc>
        <w:tc>
          <w:tcPr>
            <w:tcW w:w="930" w:type="dxa"/>
            <w:tcBorders>
              <w:top w:val="single" w:color="auto" w:sz="12" w:space="0"/>
              <w:left w:val="single" w:color="auto" w:sz="4" w:space="0"/>
              <w:bottom w:val="single" w:color="auto" w:sz="4" w:space="0"/>
              <w:right w:val="single" w:color="auto" w:sz="4" w:space="0"/>
            </w:tcBorders>
            <w:noWrap w:val="0"/>
            <w:vAlign w:val="center"/>
          </w:tcPr>
          <w:p>
            <w:pPr>
              <w:spacing w:line="400" w:lineRule="exact"/>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数量</w:t>
            </w:r>
          </w:p>
        </w:tc>
        <w:tc>
          <w:tcPr>
            <w:tcW w:w="1545" w:type="dxa"/>
            <w:tcBorders>
              <w:top w:val="single" w:color="auto" w:sz="12" w:space="0"/>
              <w:left w:val="single" w:color="auto" w:sz="4" w:space="0"/>
              <w:bottom w:val="single" w:color="auto" w:sz="4" w:space="0"/>
              <w:right w:val="single" w:color="auto" w:sz="4" w:space="0"/>
            </w:tcBorders>
            <w:noWrap w:val="0"/>
            <w:vAlign w:val="center"/>
          </w:tcPr>
          <w:p>
            <w:pPr>
              <w:spacing w:line="400" w:lineRule="exact"/>
              <w:jc w:val="center"/>
              <w:rPr>
                <w:rFonts w:hint="eastAsia" w:ascii="仿宋" w:hAnsi="仿宋" w:eastAsia="仿宋" w:cs="仿宋"/>
                <w:b/>
                <w:color w:val="auto"/>
                <w:sz w:val="24"/>
                <w:szCs w:val="24"/>
              </w:rPr>
            </w:pPr>
            <w:r>
              <w:rPr>
                <w:rFonts w:hint="eastAsia" w:ascii="仿宋" w:hAnsi="仿宋" w:eastAsia="仿宋" w:cs="仿宋"/>
                <w:b/>
                <w:color w:val="auto"/>
                <w:sz w:val="24"/>
                <w:szCs w:val="24"/>
                <w:lang w:eastAsia="zh-CN"/>
              </w:rPr>
              <w:t>生产</w:t>
            </w:r>
            <w:r>
              <w:rPr>
                <w:rFonts w:hint="eastAsia" w:ascii="仿宋" w:hAnsi="仿宋" w:eastAsia="仿宋" w:cs="仿宋"/>
                <w:b/>
                <w:color w:val="auto"/>
                <w:sz w:val="24"/>
                <w:szCs w:val="24"/>
              </w:rPr>
              <w:t>厂家</w:t>
            </w:r>
          </w:p>
        </w:tc>
        <w:tc>
          <w:tcPr>
            <w:tcW w:w="3605" w:type="dxa"/>
            <w:tcBorders>
              <w:top w:val="single" w:color="auto" w:sz="12" w:space="0"/>
              <w:left w:val="single" w:color="auto" w:sz="4" w:space="0"/>
              <w:bottom w:val="single" w:color="auto" w:sz="4" w:space="0"/>
              <w:right w:val="single" w:color="auto" w:sz="12" w:space="0"/>
            </w:tcBorders>
            <w:noWrap w:val="0"/>
            <w:vAlign w:val="center"/>
          </w:tcPr>
          <w:p>
            <w:pPr>
              <w:spacing w:line="400" w:lineRule="exact"/>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性能描述</w:t>
            </w:r>
          </w:p>
        </w:tc>
      </w:tr>
      <w:tr>
        <w:tblPrEx>
          <w:tblCellMar>
            <w:top w:w="0" w:type="dxa"/>
            <w:left w:w="108" w:type="dxa"/>
            <w:bottom w:w="0" w:type="dxa"/>
            <w:right w:w="108" w:type="dxa"/>
          </w:tblCellMar>
        </w:tblPrEx>
        <w:trPr>
          <w:trHeight w:val="520" w:hRule="atLeast"/>
        </w:trPr>
        <w:tc>
          <w:tcPr>
            <w:tcW w:w="948" w:type="dxa"/>
            <w:tcBorders>
              <w:top w:val="single" w:color="auto" w:sz="4" w:space="0"/>
              <w:left w:val="single" w:color="auto" w:sz="12" w:space="0"/>
              <w:bottom w:val="single" w:color="auto" w:sz="12" w:space="0"/>
              <w:right w:val="single" w:color="auto" w:sz="4" w:space="0"/>
            </w:tcBorders>
            <w:noWrap w:val="0"/>
            <w:vAlign w:val="center"/>
          </w:tcPr>
          <w:p>
            <w:pPr>
              <w:spacing w:line="400" w:lineRule="exact"/>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1260" w:type="dxa"/>
            <w:tcBorders>
              <w:top w:val="single" w:color="auto" w:sz="4" w:space="0"/>
              <w:left w:val="single" w:color="auto" w:sz="4" w:space="0"/>
              <w:bottom w:val="single" w:color="auto" w:sz="12" w:space="0"/>
              <w:right w:val="single" w:color="auto" w:sz="4" w:space="0"/>
            </w:tcBorders>
            <w:noWrap w:val="0"/>
            <w:vAlign w:val="center"/>
          </w:tcPr>
          <w:p>
            <w:pPr>
              <w:spacing w:line="400" w:lineRule="exact"/>
              <w:jc w:val="center"/>
              <w:rPr>
                <w:rFonts w:hint="eastAsia" w:ascii="仿宋" w:hAnsi="仿宋" w:eastAsia="仿宋" w:cs="仿宋"/>
                <w:color w:val="auto"/>
                <w:sz w:val="24"/>
                <w:szCs w:val="24"/>
              </w:rPr>
            </w:pPr>
            <w:r>
              <w:rPr>
                <w:rFonts w:hint="eastAsia" w:ascii="仿宋" w:hAnsi="仿宋" w:eastAsia="仿宋" w:cs="仿宋"/>
                <w:color w:val="auto"/>
                <w:sz w:val="24"/>
                <w:szCs w:val="24"/>
              </w:rPr>
              <w:t>XZB100</w:t>
            </w:r>
          </w:p>
        </w:tc>
        <w:tc>
          <w:tcPr>
            <w:tcW w:w="930" w:type="dxa"/>
            <w:tcBorders>
              <w:top w:val="single" w:color="auto" w:sz="4" w:space="0"/>
              <w:left w:val="single" w:color="auto" w:sz="4" w:space="0"/>
              <w:bottom w:val="single" w:color="auto" w:sz="12" w:space="0"/>
              <w:right w:val="single" w:color="auto" w:sz="4" w:space="0"/>
            </w:tcBorders>
            <w:noWrap w:val="0"/>
            <w:vAlign w:val="center"/>
          </w:tcPr>
          <w:p>
            <w:pPr>
              <w:spacing w:line="400" w:lineRule="exact"/>
              <w:jc w:val="center"/>
              <w:rPr>
                <w:rFonts w:hint="eastAsia" w:ascii="仿宋" w:hAnsi="仿宋" w:eastAsia="仿宋" w:cs="仿宋"/>
                <w:color w:val="auto"/>
                <w:sz w:val="24"/>
                <w:szCs w:val="24"/>
              </w:rPr>
            </w:pPr>
            <w:r>
              <w:rPr>
                <w:rFonts w:hint="eastAsia" w:ascii="仿宋" w:hAnsi="仿宋" w:eastAsia="仿宋" w:cs="仿宋"/>
                <w:color w:val="auto"/>
                <w:sz w:val="24"/>
                <w:szCs w:val="24"/>
              </w:rPr>
              <w:t>2套</w:t>
            </w:r>
          </w:p>
        </w:tc>
        <w:tc>
          <w:tcPr>
            <w:tcW w:w="1545" w:type="dxa"/>
            <w:tcBorders>
              <w:top w:val="single" w:color="auto" w:sz="4" w:space="0"/>
              <w:left w:val="single" w:color="auto" w:sz="4" w:space="0"/>
              <w:bottom w:val="single" w:color="auto" w:sz="12" w:space="0"/>
              <w:right w:val="single" w:color="auto" w:sz="4" w:space="0"/>
            </w:tcBorders>
            <w:noWrap w:val="0"/>
            <w:vAlign w:val="center"/>
          </w:tcPr>
          <w:p>
            <w:pPr>
              <w:spacing w:line="400" w:lineRule="exact"/>
              <w:jc w:val="center"/>
              <w:rPr>
                <w:rFonts w:hint="eastAsia" w:ascii="仿宋" w:hAnsi="仿宋" w:eastAsia="仿宋" w:cs="仿宋"/>
                <w:color w:val="auto"/>
                <w:sz w:val="24"/>
                <w:szCs w:val="24"/>
                <w:lang w:eastAsia="zh-CN"/>
              </w:rPr>
            </w:pPr>
            <w:r>
              <w:rPr>
                <w:rFonts w:hint="eastAsia" w:ascii="仿宋" w:hAnsi="仿宋" w:eastAsia="仿宋" w:cs="仿宋"/>
                <w:color w:val="auto"/>
                <w:sz w:val="24"/>
                <w:szCs w:val="24"/>
              </w:rPr>
              <w:t xml:space="preserve"> </w:t>
            </w:r>
            <w:r>
              <w:rPr>
                <w:rFonts w:hint="eastAsia" w:ascii="仿宋" w:hAnsi="仿宋" w:eastAsia="仿宋" w:cs="仿宋"/>
                <w:color w:val="auto"/>
                <w:sz w:val="24"/>
                <w:szCs w:val="24"/>
                <w:lang w:eastAsia="zh-CN"/>
              </w:rPr>
              <w:t>青岛华海</w:t>
            </w:r>
          </w:p>
        </w:tc>
        <w:tc>
          <w:tcPr>
            <w:tcW w:w="3605" w:type="dxa"/>
            <w:tcBorders>
              <w:top w:val="single" w:color="auto" w:sz="4" w:space="0"/>
              <w:left w:val="single" w:color="auto" w:sz="4" w:space="0"/>
              <w:bottom w:val="single" w:color="auto" w:sz="12" w:space="0"/>
              <w:right w:val="single" w:color="auto" w:sz="12" w:space="0"/>
            </w:tcBorders>
            <w:noWrap w:val="0"/>
            <w:vAlign w:val="center"/>
          </w:tcPr>
          <w:p>
            <w:pPr>
              <w:spacing w:line="400" w:lineRule="exact"/>
              <w:rPr>
                <w:rFonts w:hint="eastAsia" w:ascii="仿宋" w:hAnsi="仿宋" w:eastAsia="仿宋" w:cs="仿宋"/>
                <w:color w:val="auto"/>
                <w:sz w:val="24"/>
                <w:szCs w:val="24"/>
              </w:rPr>
            </w:pPr>
            <w:r>
              <w:rPr>
                <w:rFonts w:hint="eastAsia" w:ascii="仿宋" w:hAnsi="仿宋" w:eastAsia="仿宋" w:cs="仿宋"/>
                <w:color w:val="auto"/>
                <w:sz w:val="24"/>
                <w:szCs w:val="24"/>
              </w:rPr>
              <w:t>输油泵抽排量100m³/h</w:t>
            </w:r>
          </w:p>
        </w:tc>
      </w:tr>
    </w:tbl>
    <w:p>
      <w:pPr>
        <w:pStyle w:val="25"/>
        <w:spacing w:line="360" w:lineRule="auto"/>
        <w:ind w:left="0" w:leftChars="0" w:firstLine="0" w:firstLineChars="0"/>
        <w:jc w:val="both"/>
        <w:outlineLvl w:val="9"/>
        <w:rPr>
          <w:rFonts w:hint="eastAsia" w:ascii="仿宋" w:hAnsi="仿宋" w:eastAsia="仿宋" w:cs="仿宋"/>
          <w:color w:val="auto"/>
          <w:sz w:val="28"/>
          <w:szCs w:val="28"/>
          <w:lang w:val="en-US" w:eastAsia="zh-CN"/>
        </w:rPr>
      </w:pPr>
    </w:p>
    <w:p>
      <w:pPr>
        <w:pStyle w:val="25"/>
        <w:spacing w:line="360" w:lineRule="auto"/>
        <w:ind w:left="0" w:leftChars="0" w:firstLine="562" w:firstLineChars="200"/>
        <w:jc w:val="both"/>
        <w:outlineLvl w:val="9"/>
        <w:rPr>
          <w:rFonts w:hint="eastAsia" w:ascii="仿宋" w:hAnsi="仿宋" w:eastAsia="仿宋" w:cs="仿宋"/>
          <w:color w:val="auto"/>
          <w:sz w:val="28"/>
          <w:szCs w:val="28"/>
          <w:lang w:val="en-US" w:eastAsia="zh-CN"/>
        </w:rPr>
      </w:pPr>
    </w:p>
    <w:p>
      <w:pPr>
        <w:pStyle w:val="25"/>
        <w:spacing w:line="360" w:lineRule="auto"/>
        <w:ind w:left="0" w:leftChars="0" w:firstLine="562" w:firstLineChars="200"/>
        <w:jc w:val="both"/>
        <w:outlineLvl w:val="0"/>
        <w:rPr>
          <w:rFonts w:hint="eastAsia" w:ascii="仿宋" w:hAnsi="仿宋" w:eastAsia="仿宋" w:cs="仿宋"/>
          <w:color w:val="auto"/>
          <w:sz w:val="28"/>
          <w:szCs w:val="28"/>
        </w:rPr>
      </w:pPr>
      <w:bookmarkStart w:id="50" w:name="_Toc18354"/>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主要敏感资源的围护和清除方案</w:t>
      </w:r>
      <w:bookmarkEnd w:id="50"/>
    </w:p>
    <w:p>
      <w:pPr>
        <w:pStyle w:val="24"/>
        <w:spacing w:line="360" w:lineRule="auto"/>
        <w:ind w:left="0" w:leftChars="0" w:firstLine="562" w:firstLineChars="200"/>
        <w:jc w:val="both"/>
        <w:outlineLvl w:val="1"/>
        <w:rPr>
          <w:rFonts w:hint="eastAsia" w:ascii="仿宋" w:hAnsi="仿宋" w:eastAsia="仿宋" w:cs="仿宋"/>
          <w:color w:val="auto"/>
          <w:sz w:val="28"/>
          <w:szCs w:val="28"/>
        </w:rPr>
      </w:pPr>
      <w:bookmarkStart w:id="51" w:name="_Toc309251338"/>
      <w:bookmarkEnd w:id="51"/>
      <w:bookmarkStart w:id="52" w:name="_Toc1810"/>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.1</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主要敏感资源围护方案</w:t>
      </w:r>
      <w:bookmarkEnd w:id="52"/>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海域的敏感资源，集中在岸线附近，包括旅游区、沙滩、沼泽地等，根据监视和溢油运移扩散预测，对将受到溢油威胁的岸线及敏感资源采取保护措施，以免溢油上岸后不仅会污染岸线及敏感资源，尽量避免进行岸线清除油污染。</w:t>
      </w:r>
    </w:p>
    <w:p>
      <w:pPr>
        <w:spacing w:before="120" w:after="120"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综合考虑各种有关因素，如敏感区和资源对污染物的敏感程度、现有应急措施的可行性和有效性、被污染后清理的难易程度以及可能造成的经济损失等，确定优先保护次序。本方案对敏感区域和资源的优先保护基本次序建议如下：</w:t>
      </w:r>
    </w:p>
    <w:p>
      <w:pPr>
        <w:spacing w:before="120" w:after="120" w:line="360" w:lineRule="auto"/>
        <w:ind w:firstLine="48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自然保护区</w:t>
      </w:r>
    </w:p>
    <w:p>
      <w:pPr>
        <w:spacing w:before="120" w:after="120" w:line="360" w:lineRule="auto"/>
        <w:ind w:firstLine="48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工业取水口</w:t>
      </w:r>
    </w:p>
    <w:p>
      <w:pPr>
        <w:spacing w:before="120" w:after="120" w:line="360" w:lineRule="auto"/>
        <w:ind w:firstLine="48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水产资源</w:t>
      </w:r>
    </w:p>
    <w:p>
      <w:pPr>
        <w:spacing w:before="120" w:after="120" w:line="360" w:lineRule="auto"/>
        <w:ind w:firstLine="48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盐田区</w:t>
      </w:r>
    </w:p>
    <w:p>
      <w:pPr>
        <w:spacing w:before="120" w:after="120" w:line="360" w:lineRule="auto"/>
        <w:ind w:firstLine="48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旅游资源</w:t>
      </w:r>
    </w:p>
    <w:p>
      <w:pPr>
        <w:spacing w:before="120" w:after="120" w:line="360" w:lineRule="auto"/>
        <w:ind w:firstLine="48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港口设施</w:t>
      </w:r>
    </w:p>
    <w:p>
      <w:pPr>
        <w:spacing w:before="120" w:after="120" w:line="360" w:lineRule="auto"/>
        <w:ind w:firstLine="562" w:firstLineChars="200"/>
        <w:jc w:val="both"/>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5</w:t>
      </w:r>
      <w:r>
        <w:rPr>
          <w:rFonts w:hint="eastAsia" w:ascii="仿宋" w:hAnsi="仿宋" w:eastAsia="仿宋" w:cs="仿宋"/>
          <w:b/>
          <w:bCs/>
          <w:color w:val="auto"/>
          <w:sz w:val="28"/>
          <w:szCs w:val="28"/>
        </w:rPr>
        <w:t>.1.1</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不同类型岸线的围油栏选择</w:t>
      </w:r>
    </w:p>
    <w:p>
      <w:pPr>
        <w:spacing w:before="120" w:after="120" w:line="360" w:lineRule="auto"/>
        <w:ind w:firstLine="480"/>
        <w:jc w:val="both"/>
        <w:rPr>
          <w:rFonts w:hint="eastAsia" w:ascii="仿宋" w:hAnsi="仿宋" w:eastAsia="仿宋" w:cs="仿宋"/>
          <w:color w:val="auto"/>
          <w:sz w:val="28"/>
          <w:szCs w:val="28"/>
        </w:rPr>
      </w:pPr>
      <w:r>
        <w:rPr>
          <w:rFonts w:hint="eastAsia" w:ascii="仿宋" w:hAnsi="仿宋" w:eastAsia="仿宋" w:cs="仿宋"/>
          <w:color w:val="auto"/>
          <w:sz w:val="28"/>
          <w:szCs w:val="28"/>
        </w:rPr>
        <w:t>本公司可用于敏感资源围护的围油栏主要包括岸线防护围油栏和岸滩围油栏等，详见表</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-1。</w:t>
      </w:r>
    </w:p>
    <w:p>
      <w:pPr>
        <w:spacing w:before="120" w:after="120" w:line="240" w:lineRule="auto"/>
        <w:jc w:val="center"/>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5</w:t>
      </w:r>
      <w:r>
        <w:rPr>
          <w:rFonts w:hint="eastAsia" w:ascii="仿宋" w:hAnsi="仿宋" w:eastAsia="仿宋" w:cs="仿宋"/>
          <w:b/>
          <w:color w:val="auto"/>
          <w:sz w:val="28"/>
          <w:szCs w:val="28"/>
        </w:rPr>
        <w:t>-1 用于敏感资源围护的围油栏情况表</w:t>
      </w:r>
    </w:p>
    <w:tbl>
      <w:tblPr>
        <w:tblStyle w:val="13"/>
        <w:tblW w:w="8318" w:type="dxa"/>
        <w:tblInd w:w="108" w:type="dxa"/>
        <w:tblLayout w:type="autofit"/>
        <w:tblCellMar>
          <w:top w:w="0" w:type="dxa"/>
          <w:left w:w="108" w:type="dxa"/>
          <w:bottom w:w="0" w:type="dxa"/>
          <w:right w:w="108" w:type="dxa"/>
        </w:tblCellMar>
      </w:tblPr>
      <w:tblGrid>
        <w:gridCol w:w="710"/>
        <w:gridCol w:w="1548"/>
        <w:gridCol w:w="1102"/>
        <w:gridCol w:w="1020"/>
        <w:gridCol w:w="1050"/>
        <w:gridCol w:w="2888"/>
      </w:tblGrid>
      <w:tr>
        <w:tblPrEx>
          <w:tblCellMar>
            <w:top w:w="0" w:type="dxa"/>
            <w:left w:w="108" w:type="dxa"/>
            <w:bottom w:w="0" w:type="dxa"/>
            <w:right w:w="108" w:type="dxa"/>
          </w:tblCellMar>
        </w:tblPrEx>
        <w:tc>
          <w:tcPr>
            <w:tcW w:w="710" w:type="dxa"/>
            <w:tcBorders>
              <w:top w:val="single" w:color="000000" w:sz="12" w:space="0"/>
              <w:left w:val="single" w:color="000000" w:sz="12"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序号</w:t>
            </w:r>
          </w:p>
        </w:tc>
        <w:tc>
          <w:tcPr>
            <w:tcW w:w="1548" w:type="dxa"/>
            <w:tcBorders>
              <w:top w:val="single" w:color="000000" w:sz="12" w:space="0"/>
              <w:left w:val="single" w:color="000000" w:sz="6"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名称</w:t>
            </w:r>
          </w:p>
        </w:tc>
        <w:tc>
          <w:tcPr>
            <w:tcW w:w="1102" w:type="dxa"/>
            <w:tcBorders>
              <w:top w:val="single" w:color="000000" w:sz="12" w:space="0"/>
              <w:left w:val="single" w:color="000000" w:sz="6"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型号</w:t>
            </w:r>
          </w:p>
        </w:tc>
        <w:tc>
          <w:tcPr>
            <w:tcW w:w="1020" w:type="dxa"/>
            <w:tcBorders>
              <w:top w:val="single" w:color="000000" w:sz="12" w:space="0"/>
              <w:left w:val="single" w:color="000000" w:sz="6"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数量</w:t>
            </w:r>
          </w:p>
        </w:tc>
        <w:tc>
          <w:tcPr>
            <w:tcW w:w="1050" w:type="dxa"/>
            <w:tcBorders>
              <w:top w:val="single" w:color="000000" w:sz="12" w:space="0"/>
              <w:left w:val="single" w:color="000000" w:sz="6"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b/>
                <w:color w:val="auto"/>
                <w:sz w:val="24"/>
                <w:szCs w:val="24"/>
                <w:lang w:eastAsia="zh-CN"/>
              </w:rPr>
            </w:pPr>
            <w:r>
              <w:rPr>
                <w:rFonts w:hint="eastAsia" w:ascii="仿宋" w:hAnsi="仿宋" w:eastAsia="仿宋" w:cs="仿宋"/>
                <w:b/>
                <w:color w:val="auto"/>
                <w:sz w:val="24"/>
                <w:szCs w:val="24"/>
                <w:lang w:eastAsia="zh-CN"/>
              </w:rPr>
              <w:t>生产</w:t>
            </w:r>
          </w:p>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厂家</w:t>
            </w:r>
          </w:p>
        </w:tc>
        <w:tc>
          <w:tcPr>
            <w:tcW w:w="2888" w:type="dxa"/>
            <w:tcBorders>
              <w:top w:val="single" w:color="000000" w:sz="12" w:space="0"/>
              <w:left w:val="single" w:color="000000" w:sz="6" w:space="0"/>
              <w:bottom w:val="single" w:color="000000" w:sz="6" w:space="0"/>
              <w:right w:val="single" w:color="000000" w:sz="12" w:space="0"/>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主要技术参数</w:t>
            </w:r>
          </w:p>
        </w:tc>
      </w:tr>
      <w:tr>
        <w:tblPrEx>
          <w:tblCellMar>
            <w:top w:w="0" w:type="dxa"/>
            <w:left w:w="108" w:type="dxa"/>
            <w:bottom w:w="0" w:type="dxa"/>
            <w:right w:w="108" w:type="dxa"/>
          </w:tblCellMar>
        </w:tblPrEx>
        <w:trPr>
          <w:trHeight w:val="622" w:hRule="atLeast"/>
        </w:trPr>
        <w:tc>
          <w:tcPr>
            <w:tcW w:w="710" w:type="dxa"/>
            <w:tcBorders>
              <w:top w:val="single" w:color="000000" w:sz="6" w:space="0"/>
              <w:left w:val="single" w:color="000000" w:sz="12"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1548" w:type="dxa"/>
            <w:tcBorders>
              <w:top w:val="single" w:color="000000" w:sz="6" w:space="0"/>
              <w:left w:val="single" w:color="000000" w:sz="6"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eastAsia="zh-CN"/>
              </w:rPr>
              <w:t>岸线防护</w:t>
            </w:r>
            <w:r>
              <w:rPr>
                <w:rFonts w:hint="eastAsia" w:ascii="仿宋" w:hAnsi="仿宋" w:eastAsia="仿宋" w:cs="仿宋"/>
                <w:color w:val="auto"/>
                <w:sz w:val="24"/>
                <w:szCs w:val="24"/>
              </w:rPr>
              <w:t>围油栏</w:t>
            </w:r>
          </w:p>
        </w:tc>
        <w:tc>
          <w:tcPr>
            <w:tcW w:w="1102" w:type="dxa"/>
            <w:tcBorders>
              <w:top w:val="single" w:color="000000" w:sz="6" w:space="0"/>
              <w:left w:val="single" w:color="000000" w:sz="6"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WGV</w:t>
            </w:r>
            <w:r>
              <w:rPr>
                <w:rFonts w:hint="eastAsia" w:ascii="仿宋" w:hAnsi="仿宋" w:eastAsia="仿宋" w:cs="仿宋"/>
                <w:color w:val="auto"/>
                <w:sz w:val="24"/>
                <w:szCs w:val="24"/>
                <w:lang w:val="en-US" w:eastAsia="zh-CN"/>
              </w:rPr>
              <w:t>6</w:t>
            </w:r>
            <w:r>
              <w:rPr>
                <w:rFonts w:hint="eastAsia" w:ascii="仿宋" w:hAnsi="仿宋" w:eastAsia="仿宋" w:cs="仿宋"/>
                <w:color w:val="auto"/>
                <w:sz w:val="24"/>
                <w:szCs w:val="24"/>
              </w:rPr>
              <w:t>00</w:t>
            </w:r>
          </w:p>
        </w:tc>
        <w:tc>
          <w:tcPr>
            <w:tcW w:w="1020" w:type="dxa"/>
            <w:tcBorders>
              <w:top w:val="single" w:color="000000" w:sz="6" w:space="0"/>
              <w:left w:val="single" w:color="000000" w:sz="6"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r>
              <w:rPr>
                <w:rFonts w:hint="eastAsia" w:ascii="仿宋" w:hAnsi="仿宋" w:eastAsia="仿宋" w:cs="仿宋"/>
                <w:color w:val="auto"/>
                <w:sz w:val="24"/>
                <w:szCs w:val="24"/>
                <w:lang w:val="en-US" w:eastAsia="zh-CN"/>
              </w:rPr>
              <w:t>4</w:t>
            </w:r>
            <w:r>
              <w:rPr>
                <w:rFonts w:hint="eastAsia" w:ascii="仿宋" w:hAnsi="仿宋" w:eastAsia="仿宋" w:cs="仿宋"/>
                <w:color w:val="auto"/>
                <w:sz w:val="24"/>
                <w:szCs w:val="24"/>
              </w:rPr>
              <w:t>00米</w:t>
            </w:r>
          </w:p>
        </w:tc>
        <w:tc>
          <w:tcPr>
            <w:tcW w:w="1050" w:type="dxa"/>
            <w:tcBorders>
              <w:top w:val="single" w:color="000000" w:sz="6" w:space="0"/>
              <w:left w:val="single" w:color="000000" w:sz="6" w:space="0"/>
              <w:bottom w:val="single" w:color="000000" w:sz="6" w:space="0"/>
              <w:right w:val="single" w:color="000000" w:sz="6" w:space="0"/>
            </w:tcBorders>
            <w:noWrap w:val="0"/>
            <w:vAlign w:val="center"/>
          </w:tcPr>
          <w:p>
            <w:pPr>
              <w:spacing w:line="240" w:lineRule="auto"/>
              <w:jc w:val="center"/>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青岛</w:t>
            </w:r>
          </w:p>
          <w:p>
            <w:pPr>
              <w:spacing w:line="240" w:lineRule="auto"/>
              <w:jc w:val="center"/>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华海</w:t>
            </w:r>
          </w:p>
        </w:tc>
        <w:tc>
          <w:tcPr>
            <w:tcW w:w="2888" w:type="dxa"/>
            <w:tcBorders>
              <w:top w:val="single" w:color="000000" w:sz="6" w:space="0"/>
              <w:left w:val="single" w:color="000000" w:sz="6" w:space="0"/>
              <w:bottom w:val="single" w:color="000000" w:sz="6" w:space="0"/>
              <w:right w:val="single" w:color="000000" w:sz="12" w:space="0"/>
            </w:tcBorders>
            <w:noWrap w:val="0"/>
            <w:vAlign w:val="center"/>
          </w:tcPr>
          <w:p>
            <w:pPr>
              <w:numPr>
                <w:ilvl w:val="0"/>
                <w:numId w:val="0"/>
              </w:numPr>
              <w:tabs>
                <w:tab w:val="left" w:pos="296"/>
              </w:tabs>
              <w:spacing w:line="240" w:lineRule="auto"/>
              <w:ind w:leftChars="0" w:right="0" w:rightChars="0"/>
              <w:rPr>
                <w:rFonts w:hint="eastAsia" w:ascii="仿宋" w:hAnsi="仿宋" w:eastAsia="仿宋" w:cs="仿宋"/>
                <w:color w:val="auto"/>
                <w:sz w:val="24"/>
                <w:szCs w:val="24"/>
              </w:rPr>
            </w:pP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主要用于非开阔水域</w:t>
            </w:r>
          </w:p>
          <w:p>
            <w:pPr>
              <w:numPr>
                <w:ilvl w:val="0"/>
                <w:numId w:val="0"/>
              </w:numPr>
              <w:tabs>
                <w:tab w:val="left" w:pos="296"/>
              </w:tabs>
              <w:spacing w:line="240" w:lineRule="auto"/>
              <w:ind w:leftChars="0" w:right="0" w:rightChars="0"/>
              <w:rPr>
                <w:rFonts w:hint="eastAsia" w:ascii="仿宋" w:hAnsi="仿宋" w:eastAsia="仿宋" w:cs="仿宋"/>
                <w:color w:val="auto"/>
                <w:sz w:val="24"/>
                <w:szCs w:val="24"/>
              </w:rPr>
            </w:pP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耐最大波高0.5m</w:t>
            </w:r>
          </w:p>
          <w:p>
            <w:pPr>
              <w:numPr>
                <w:ilvl w:val="0"/>
                <w:numId w:val="0"/>
              </w:numPr>
              <w:tabs>
                <w:tab w:val="left" w:pos="296"/>
              </w:tabs>
              <w:spacing w:line="240" w:lineRule="auto"/>
              <w:ind w:leftChars="0" w:right="0" w:rightChars="0"/>
              <w:rPr>
                <w:rFonts w:hint="eastAsia" w:ascii="仿宋" w:hAnsi="仿宋" w:eastAsia="仿宋" w:cs="仿宋"/>
                <w:color w:val="auto"/>
                <w:sz w:val="24"/>
                <w:szCs w:val="24"/>
              </w:rPr>
            </w:pP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耐最大风速8m/s</w:t>
            </w:r>
          </w:p>
          <w:p>
            <w:pPr>
              <w:numPr>
                <w:ilvl w:val="0"/>
                <w:numId w:val="0"/>
              </w:numPr>
              <w:tabs>
                <w:tab w:val="left" w:pos="296"/>
              </w:tabs>
              <w:spacing w:line="240" w:lineRule="auto"/>
              <w:ind w:leftChars="0" w:right="0" w:rightChars="0"/>
              <w:rPr>
                <w:rFonts w:hint="eastAsia" w:ascii="仿宋" w:hAnsi="仿宋" w:eastAsia="仿宋" w:cs="仿宋"/>
                <w:color w:val="auto"/>
                <w:sz w:val="24"/>
                <w:szCs w:val="24"/>
              </w:rPr>
            </w:pP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耐最大流速1Knot</w:t>
            </w:r>
          </w:p>
          <w:p>
            <w:pPr>
              <w:numPr>
                <w:ilvl w:val="0"/>
                <w:numId w:val="0"/>
              </w:numPr>
              <w:tabs>
                <w:tab w:val="left" w:pos="296"/>
              </w:tabs>
              <w:spacing w:line="240" w:lineRule="auto"/>
              <w:ind w:leftChars="0" w:right="0" w:rightChars="0"/>
              <w:rPr>
                <w:rFonts w:hint="default" w:ascii="仿宋" w:hAnsi="仿宋" w:eastAsia="仿宋" w:cs="仿宋"/>
                <w:color w:val="auto"/>
                <w:sz w:val="24"/>
                <w:szCs w:val="24"/>
                <w:lang w:val="en-US"/>
              </w:rPr>
            </w:pPr>
            <w:r>
              <w:rPr>
                <w:rFonts w:hint="eastAsia" w:ascii="仿宋" w:hAnsi="仿宋" w:eastAsia="仿宋" w:cs="仿宋"/>
                <w:color w:val="auto"/>
                <w:sz w:val="24"/>
                <w:szCs w:val="24"/>
                <w:lang w:eastAsia="zh-CN"/>
              </w:rPr>
              <w:t>◆总抗拉强度</w:t>
            </w:r>
            <w:r>
              <w:rPr>
                <w:rFonts w:hint="eastAsia" w:ascii="仿宋" w:hAnsi="仿宋" w:eastAsia="仿宋" w:cs="仿宋"/>
                <w:color w:val="auto"/>
                <w:sz w:val="24"/>
                <w:szCs w:val="24"/>
                <w:lang w:val="en-US" w:eastAsia="zh-CN"/>
              </w:rPr>
              <w:t xml:space="preserve"> 20kn</w:t>
            </w:r>
          </w:p>
        </w:tc>
      </w:tr>
      <w:tr>
        <w:tblPrEx>
          <w:tblCellMar>
            <w:top w:w="0" w:type="dxa"/>
            <w:left w:w="108" w:type="dxa"/>
            <w:bottom w:w="0" w:type="dxa"/>
            <w:right w:w="108" w:type="dxa"/>
          </w:tblCellMar>
        </w:tblPrEx>
        <w:trPr>
          <w:trHeight w:val="622" w:hRule="atLeast"/>
        </w:trPr>
        <w:tc>
          <w:tcPr>
            <w:tcW w:w="710" w:type="dxa"/>
            <w:tcBorders>
              <w:top w:val="single" w:color="000000" w:sz="6" w:space="0"/>
              <w:left w:val="single" w:color="000000" w:sz="12" w:space="0"/>
              <w:bottom w:val="single" w:color="000000" w:sz="12" w:space="0"/>
              <w:right w:val="single" w:color="000000" w:sz="6" w:space="0"/>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1548" w:type="dxa"/>
            <w:tcBorders>
              <w:top w:val="single" w:color="000000" w:sz="6" w:space="0"/>
              <w:left w:val="single" w:color="000000" w:sz="6" w:space="0"/>
              <w:bottom w:val="single" w:color="000000" w:sz="12" w:space="0"/>
              <w:right w:val="single" w:color="000000" w:sz="6" w:space="0"/>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岸滩围油栏</w:t>
            </w:r>
          </w:p>
        </w:tc>
        <w:tc>
          <w:tcPr>
            <w:tcW w:w="1102" w:type="dxa"/>
            <w:tcBorders>
              <w:top w:val="single" w:color="000000" w:sz="6" w:space="0"/>
              <w:left w:val="single" w:color="000000" w:sz="6" w:space="0"/>
              <w:bottom w:val="single" w:color="000000" w:sz="12" w:space="0"/>
              <w:right w:val="single" w:color="000000" w:sz="6" w:space="0"/>
            </w:tcBorders>
            <w:noWrap w:val="0"/>
            <w:vAlign w:val="center"/>
          </w:tcPr>
          <w:p>
            <w:pPr>
              <w:spacing w:line="240" w:lineRule="auto"/>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rPr>
              <w:t>W</w:t>
            </w:r>
            <w:r>
              <w:rPr>
                <w:rFonts w:hint="eastAsia" w:ascii="仿宋" w:hAnsi="仿宋" w:eastAsia="仿宋" w:cs="仿宋"/>
                <w:color w:val="auto"/>
                <w:sz w:val="24"/>
                <w:szCs w:val="24"/>
                <w:lang w:val="en-US" w:eastAsia="zh-CN"/>
              </w:rPr>
              <w:t>QV</w:t>
            </w:r>
            <w:r>
              <w:rPr>
                <w:rFonts w:hint="eastAsia" w:ascii="仿宋" w:hAnsi="仿宋" w:eastAsia="仿宋" w:cs="仿宋"/>
                <w:color w:val="auto"/>
                <w:sz w:val="24"/>
                <w:szCs w:val="24"/>
              </w:rPr>
              <w:t>600</w:t>
            </w:r>
            <w:r>
              <w:rPr>
                <w:rFonts w:hint="eastAsia" w:ascii="仿宋" w:hAnsi="仿宋" w:eastAsia="仿宋" w:cs="仿宋"/>
                <w:color w:val="auto"/>
                <w:sz w:val="24"/>
                <w:szCs w:val="24"/>
                <w:lang w:val="en-US" w:eastAsia="zh-CN"/>
              </w:rPr>
              <w:t>T</w:t>
            </w:r>
          </w:p>
        </w:tc>
        <w:tc>
          <w:tcPr>
            <w:tcW w:w="1020" w:type="dxa"/>
            <w:tcBorders>
              <w:top w:val="single" w:color="000000" w:sz="6" w:space="0"/>
              <w:left w:val="single" w:color="000000" w:sz="6" w:space="0"/>
              <w:bottom w:val="single" w:color="000000" w:sz="12" w:space="0"/>
              <w:right w:val="single" w:color="000000" w:sz="6" w:space="0"/>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600</w:t>
            </w:r>
            <w:r>
              <w:rPr>
                <w:rFonts w:hint="eastAsia" w:ascii="仿宋" w:hAnsi="仿宋" w:eastAsia="仿宋" w:cs="仿宋"/>
                <w:color w:val="auto"/>
                <w:sz w:val="24"/>
                <w:szCs w:val="24"/>
              </w:rPr>
              <w:t>米</w:t>
            </w:r>
          </w:p>
        </w:tc>
        <w:tc>
          <w:tcPr>
            <w:tcW w:w="1050" w:type="dxa"/>
            <w:tcBorders>
              <w:top w:val="single" w:color="000000" w:sz="6" w:space="0"/>
              <w:left w:val="single" w:color="000000" w:sz="6" w:space="0"/>
              <w:bottom w:val="single" w:color="000000" w:sz="12" w:space="0"/>
              <w:right w:val="single" w:color="000000" w:sz="6" w:space="0"/>
            </w:tcBorders>
            <w:noWrap w:val="0"/>
            <w:vAlign w:val="center"/>
          </w:tcPr>
          <w:p>
            <w:pPr>
              <w:spacing w:line="240" w:lineRule="auto"/>
              <w:jc w:val="center"/>
              <w:rPr>
                <w:rFonts w:hint="eastAsia" w:ascii="仿宋" w:hAnsi="仿宋" w:eastAsia="仿宋" w:cs="仿宋"/>
                <w:color w:val="auto"/>
                <w:sz w:val="24"/>
                <w:szCs w:val="24"/>
                <w:lang w:eastAsia="zh-CN"/>
              </w:rPr>
            </w:pPr>
            <w:r>
              <w:rPr>
                <w:rFonts w:hint="eastAsia" w:ascii="仿宋" w:hAnsi="仿宋" w:eastAsia="仿宋" w:cs="仿宋"/>
                <w:color w:val="auto"/>
                <w:sz w:val="24"/>
                <w:szCs w:val="24"/>
                <w:lang w:eastAsia="zh-CN"/>
              </w:rPr>
              <w:t>青岛</w:t>
            </w:r>
          </w:p>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eastAsia="zh-CN"/>
              </w:rPr>
              <w:t>华海</w:t>
            </w:r>
          </w:p>
        </w:tc>
        <w:tc>
          <w:tcPr>
            <w:tcW w:w="2888" w:type="dxa"/>
            <w:tcBorders>
              <w:top w:val="single" w:color="000000" w:sz="6" w:space="0"/>
              <w:left w:val="single" w:color="000000" w:sz="6" w:space="0"/>
              <w:bottom w:val="single" w:color="000000" w:sz="12" w:space="0"/>
              <w:right w:val="single" w:color="000000" w:sz="12" w:space="0"/>
            </w:tcBorders>
            <w:noWrap w:val="0"/>
            <w:vAlign w:val="center"/>
          </w:tcPr>
          <w:p>
            <w:pPr>
              <w:pStyle w:val="2"/>
              <w:bidi w:val="0"/>
              <w:spacing w:line="240" w:lineRule="auto"/>
              <w:ind w:left="0" w:leftChars="0" w:firstLine="0" w:firstLineChars="0"/>
              <w:rPr>
                <w:rFonts w:hint="eastAsia" w:ascii="仿宋" w:hAnsi="仿宋" w:eastAsia="仿宋" w:cs="仿宋"/>
                <w:b w:val="0"/>
                <w:bCs w:val="0"/>
                <w:color w:val="auto"/>
                <w:sz w:val="24"/>
                <w:szCs w:val="24"/>
              </w:rPr>
            </w:pPr>
            <w:bookmarkStart w:id="53" w:name="_Toc21882"/>
            <w:r>
              <w:rPr>
                <w:rFonts w:hint="eastAsia" w:ascii="仿宋" w:hAnsi="仿宋" w:eastAsia="仿宋" w:cs="仿宋"/>
                <w:b w:val="0"/>
                <w:bCs w:val="0"/>
                <w:color w:val="auto"/>
                <w:sz w:val="24"/>
                <w:szCs w:val="24"/>
              </w:rPr>
              <w:t>主要防止溢油在岸滩上</w:t>
            </w:r>
            <w:r>
              <w:rPr>
                <w:rFonts w:hint="eastAsia" w:ascii="仿宋" w:hAnsi="仿宋" w:eastAsia="仿宋" w:cs="仿宋"/>
                <w:b w:val="0"/>
                <w:bCs w:val="0"/>
                <w:color w:val="auto"/>
                <w:sz w:val="24"/>
                <w:szCs w:val="24"/>
                <w:lang w:eastAsia="zh-CN"/>
              </w:rPr>
              <w:t>外</w:t>
            </w:r>
            <w:r>
              <w:rPr>
                <w:rFonts w:hint="eastAsia" w:ascii="仿宋" w:hAnsi="仿宋" w:eastAsia="仿宋" w:cs="仿宋"/>
                <w:b w:val="0"/>
                <w:bCs w:val="0"/>
                <w:color w:val="auto"/>
                <w:sz w:val="24"/>
                <w:szCs w:val="24"/>
              </w:rPr>
              <w:t>溢，可用于应急性布放</w:t>
            </w:r>
            <w:bookmarkEnd w:id="53"/>
          </w:p>
          <w:p>
            <w:pPr>
              <w:numPr>
                <w:ilvl w:val="0"/>
                <w:numId w:val="0"/>
              </w:numPr>
              <w:tabs>
                <w:tab w:val="left" w:pos="296"/>
              </w:tabs>
              <w:spacing w:line="240" w:lineRule="auto"/>
              <w:ind w:left="240" w:leftChars="0" w:right="0" w:rightChars="0" w:hanging="240" w:hangingChars="100"/>
              <w:jc w:val="left"/>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eastAsia="zh-CN"/>
              </w:rPr>
              <w:t>◆总抗拉强度</w:t>
            </w:r>
            <w:r>
              <w:rPr>
                <w:rFonts w:hint="eastAsia" w:ascii="仿宋" w:hAnsi="仿宋" w:eastAsia="仿宋" w:cs="仿宋"/>
                <w:color w:val="auto"/>
                <w:sz w:val="24"/>
                <w:szCs w:val="24"/>
                <w:lang w:val="en-US" w:eastAsia="zh-CN"/>
              </w:rPr>
              <w:t xml:space="preserve"> 25kn</w:t>
            </w:r>
          </w:p>
        </w:tc>
      </w:tr>
    </w:tbl>
    <w:p>
      <w:pPr>
        <w:spacing w:line="480" w:lineRule="exact"/>
        <w:rPr>
          <w:rFonts w:hint="eastAsia" w:ascii="仿宋" w:hAnsi="仿宋" w:eastAsia="仿宋" w:cs="仿宋"/>
          <w:color w:val="auto"/>
          <w:sz w:val="28"/>
          <w:szCs w:val="28"/>
        </w:rPr>
      </w:pPr>
    </w:p>
    <w:p>
      <w:pPr>
        <w:spacing w:line="360" w:lineRule="auto"/>
        <w:ind w:firstLine="562" w:firstLineChars="200"/>
        <w:jc w:val="both"/>
        <w:rPr>
          <w:rFonts w:hint="eastAsia" w:ascii="仿宋" w:hAnsi="仿宋" w:eastAsia="仿宋" w:cs="仿宋"/>
          <w:b/>
          <w:bCs/>
          <w:color w:val="auto"/>
          <w:sz w:val="28"/>
          <w:szCs w:val="28"/>
        </w:rPr>
      </w:pPr>
      <w:bookmarkStart w:id="54" w:name="_Toc309251340"/>
      <w:bookmarkEnd w:id="54"/>
      <w:r>
        <w:rPr>
          <w:rFonts w:hint="eastAsia" w:ascii="仿宋" w:hAnsi="仿宋" w:eastAsia="仿宋" w:cs="仿宋"/>
          <w:b/>
          <w:bCs/>
          <w:color w:val="auto"/>
          <w:sz w:val="28"/>
          <w:szCs w:val="28"/>
          <w:lang w:val="en-US" w:eastAsia="zh-CN"/>
        </w:rPr>
        <w:t>5</w:t>
      </w:r>
      <w:r>
        <w:rPr>
          <w:rFonts w:hint="eastAsia" w:ascii="仿宋" w:hAnsi="仿宋" w:eastAsia="仿宋" w:cs="仿宋"/>
          <w:b/>
          <w:bCs/>
          <w:color w:val="auto"/>
          <w:sz w:val="28"/>
          <w:szCs w:val="28"/>
        </w:rPr>
        <w:t>.1.2</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不同类型岸线的相对敏感性</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当受溢油威胁的岸线范围较大，则很难对受威胁的岸线全部保护，需要根据岸线的敏感指数（ESI）来考虑优先保护次序。表</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-2为不同类型岸线的相对敏感性。</w:t>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5</w:t>
      </w:r>
      <w:r>
        <w:rPr>
          <w:rFonts w:hint="eastAsia" w:ascii="仿宋" w:hAnsi="仿宋" w:eastAsia="仿宋" w:cs="仿宋"/>
          <w:b/>
          <w:color w:val="auto"/>
          <w:sz w:val="28"/>
          <w:szCs w:val="28"/>
        </w:rPr>
        <w:t>-2 不同类型岸线的相对敏感性</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20"/>
        <w:gridCol w:w="1356"/>
        <w:gridCol w:w="2097"/>
        <w:gridCol w:w="473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2200" w:type="dxa"/>
            <w:gridSpan w:val="2"/>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相对敏感性</w:t>
            </w:r>
          </w:p>
        </w:tc>
        <w:tc>
          <w:tcPr>
            <w:tcW w:w="2120" w:type="dxa"/>
            <w:vMerge w:val="restart"/>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岸线类型</w:t>
            </w:r>
          </w:p>
        </w:tc>
        <w:tc>
          <w:tcPr>
            <w:tcW w:w="4783" w:type="dxa"/>
            <w:vMerge w:val="restart"/>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说明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829" w:type="dxa"/>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等级</w:t>
            </w: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敏感指数</w:t>
            </w:r>
          </w:p>
          <w:p>
            <w:pPr>
              <w:widowControl w:val="0"/>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（ESI）</w:t>
            </w:r>
          </w:p>
        </w:tc>
        <w:tc>
          <w:tcPr>
            <w:tcW w:w="2120" w:type="dxa"/>
            <w:vMerge w:val="continue"/>
            <w:tcBorders>
              <w:tl2br w:val="nil"/>
              <w:tr2bl w:val="nil"/>
            </w:tcBorders>
            <w:noWrap w:val="0"/>
            <w:vAlign w:val="center"/>
          </w:tcPr>
          <w:p>
            <w:pPr>
              <w:widowControl w:val="0"/>
              <w:spacing w:line="240" w:lineRule="auto"/>
              <w:rPr>
                <w:rFonts w:hint="eastAsia" w:ascii="仿宋" w:hAnsi="仿宋" w:eastAsia="仿宋" w:cs="仿宋"/>
                <w:b/>
                <w:color w:val="auto"/>
                <w:sz w:val="24"/>
                <w:szCs w:val="24"/>
              </w:rPr>
            </w:pPr>
          </w:p>
        </w:tc>
        <w:tc>
          <w:tcPr>
            <w:tcW w:w="4783" w:type="dxa"/>
            <w:vMerge w:val="continue"/>
            <w:tcBorders>
              <w:tl2br w:val="nil"/>
              <w:tr2bl w:val="nil"/>
            </w:tcBorders>
            <w:noWrap w:val="0"/>
            <w:vAlign w:val="center"/>
          </w:tcPr>
          <w:p>
            <w:pPr>
              <w:widowControl w:val="0"/>
              <w:spacing w:line="240" w:lineRule="auto"/>
              <w:jc w:val="center"/>
              <w:rPr>
                <w:rFonts w:hint="eastAsia" w:ascii="仿宋" w:hAnsi="仿宋" w:eastAsia="仿宋" w:cs="仿宋"/>
                <w:b/>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9" w:type="dxa"/>
            <w:vMerge w:val="restart"/>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w:t>
            </w: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2120" w:type="dxa"/>
            <w:tcBorders>
              <w:tl2br w:val="nil"/>
              <w:tr2bl w:val="nil"/>
            </w:tcBorders>
            <w:noWrap w:val="0"/>
            <w:vAlign w:val="center"/>
          </w:tcPr>
          <w:p>
            <w:pPr>
              <w:widowControl w:val="0"/>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暴露的岩石海岸和垂直坚硬的人工构筑物</w:t>
            </w:r>
          </w:p>
        </w:tc>
        <w:tc>
          <w:tcPr>
            <w:tcW w:w="4783" w:type="dxa"/>
            <w:tcBorders>
              <w:tl2br w:val="nil"/>
              <w:tr2bl w:val="nil"/>
            </w:tcBorders>
            <w:noWrap w:val="0"/>
            <w:vAlign w:val="center"/>
          </w:tcPr>
          <w:p>
            <w:pPr>
              <w:widowControl w:val="0"/>
              <w:numPr>
                <w:ilvl w:val="0"/>
                <w:numId w:val="2"/>
              </w:numPr>
              <w:tabs>
                <w:tab w:val="left" w:pos="176"/>
              </w:tabs>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波浪反射作用有助于油离岸</w:t>
            </w:r>
          </w:p>
          <w:p>
            <w:pPr>
              <w:widowControl w:val="0"/>
              <w:numPr>
                <w:ilvl w:val="0"/>
                <w:numId w:val="2"/>
              </w:numPr>
              <w:tabs>
                <w:tab w:val="left" w:pos="176"/>
              </w:tabs>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不需要清除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94" w:hRule="atLeas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暴露的岩石平台</w:t>
            </w:r>
          </w:p>
        </w:tc>
        <w:tc>
          <w:tcPr>
            <w:tcW w:w="4783" w:type="dxa"/>
            <w:tcBorders>
              <w:tl2br w:val="nil"/>
              <w:tr2bl w:val="nil"/>
            </w:tcBorders>
            <w:noWrap w:val="0"/>
            <w:vAlign w:val="center"/>
          </w:tcPr>
          <w:p>
            <w:pPr>
              <w:widowControl w:val="0"/>
              <w:numPr>
                <w:ilvl w:val="0"/>
                <w:numId w:val="2"/>
              </w:numPr>
              <w:tabs>
                <w:tab w:val="left" w:pos="176"/>
              </w:tabs>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波浪掠过，浸蚀</w:t>
            </w:r>
          </w:p>
          <w:p>
            <w:pPr>
              <w:widowControl w:val="0"/>
              <w:numPr>
                <w:ilvl w:val="0"/>
                <w:numId w:val="2"/>
              </w:numPr>
              <w:tabs>
                <w:tab w:val="left" w:pos="176"/>
              </w:tabs>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在几周内油可自然地除去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1239" w:hRule="atLeast"/>
          <w:jc w:val="center"/>
        </w:trPr>
        <w:tc>
          <w:tcPr>
            <w:tcW w:w="829" w:type="dxa"/>
            <w:vMerge w:val="restart"/>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3</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细沙滩</w:t>
            </w:r>
          </w:p>
        </w:tc>
        <w:tc>
          <w:tcPr>
            <w:tcW w:w="4783" w:type="dxa"/>
            <w:tcBorders>
              <w:tl2br w:val="nil"/>
              <w:tr2bl w:val="nil"/>
            </w:tcBorders>
            <w:noWrap w:val="0"/>
            <w:vAlign w:val="center"/>
          </w:tcPr>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低生物量受影响</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油不渗入海滩</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用机械方法清除有效</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在1～2个月内油可自然地除去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977" w:hRule="atLeas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4</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中、粗粒沙滩</w:t>
            </w:r>
          </w:p>
        </w:tc>
        <w:tc>
          <w:tcPr>
            <w:tcW w:w="4783" w:type="dxa"/>
            <w:tcBorders>
              <w:tl2br w:val="nil"/>
              <w:tr2bl w:val="nil"/>
            </w:tcBorders>
            <w:noWrap w:val="0"/>
            <w:vAlign w:val="center"/>
          </w:tcPr>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低生物量受影响</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油可能渗入海滩或迅速地被掩埋，不易清除</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大多数油需经数个月后才自然地除去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502" w:hRule="atLeas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5A</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沙和砾石混合滩</w:t>
            </w:r>
          </w:p>
        </w:tc>
        <w:tc>
          <w:tcPr>
            <w:tcW w:w="4783" w:type="dxa"/>
            <w:vMerge w:val="restart"/>
            <w:tcBorders>
              <w:tl2br w:val="nil"/>
              <w:tr2bl w:val="nil"/>
            </w:tcBorders>
            <w:noWrap w:val="0"/>
            <w:vAlign w:val="center"/>
          </w:tcPr>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低生物量受影响</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易移动的沉积物</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大部分油不渗入沉积物</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大约一年油可自然地除去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5B</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人工充填海岸</w:t>
            </w:r>
          </w:p>
        </w:tc>
        <w:tc>
          <w:tcPr>
            <w:tcW w:w="4783" w:type="dxa"/>
            <w:vMerge w:val="continue"/>
            <w:tcBorders>
              <w:tl2br w:val="nil"/>
              <w:tr2bl w:val="nil"/>
            </w:tcBorders>
            <w:noWrap w:val="0"/>
            <w:vAlign w:val="center"/>
          </w:tcPr>
          <w:p>
            <w:pPr>
              <w:widowControl w:val="0"/>
              <w:numPr>
                <w:ilvl w:val="0"/>
                <w:numId w:val="2"/>
              </w:numPr>
              <w:tabs>
                <w:tab w:val="left" w:pos="176"/>
              </w:tabs>
              <w:spacing w:line="240" w:lineRule="auto"/>
              <w:jc w:val="both"/>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75" w:hRule="atLeas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6A</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砾石滩</w:t>
            </w:r>
          </w:p>
        </w:tc>
        <w:tc>
          <w:tcPr>
            <w:tcW w:w="4783" w:type="dxa"/>
            <w:vMerge w:val="restart"/>
            <w:tcBorders>
              <w:tl2br w:val="nil"/>
              <w:tr2bl w:val="nil"/>
            </w:tcBorders>
            <w:noWrap w:val="0"/>
            <w:vAlign w:val="center"/>
          </w:tcPr>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油迅速地渗入海滩、不易清除</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清除应集中在高潮汐冲溅区</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在掩蔽处油可能要存留数年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442" w:hRule="atLeas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6B</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防冲乱石砌岸线</w:t>
            </w:r>
          </w:p>
        </w:tc>
        <w:tc>
          <w:tcPr>
            <w:tcW w:w="4783" w:type="dxa"/>
            <w:vMerge w:val="continue"/>
            <w:tcBorders>
              <w:tl2br w:val="nil"/>
              <w:tr2bl w:val="nil"/>
            </w:tcBorders>
            <w:noWrap w:val="0"/>
            <w:vAlign w:val="center"/>
          </w:tcPr>
          <w:p>
            <w:pPr>
              <w:widowControl w:val="0"/>
              <w:numPr>
                <w:ilvl w:val="0"/>
                <w:numId w:val="2"/>
              </w:numPr>
              <w:tabs>
                <w:tab w:val="left" w:pos="176"/>
              </w:tabs>
              <w:spacing w:line="240" w:lineRule="auto"/>
              <w:jc w:val="both"/>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7</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暴露的潮间带</w:t>
            </w:r>
          </w:p>
        </w:tc>
        <w:tc>
          <w:tcPr>
            <w:tcW w:w="4783" w:type="dxa"/>
            <w:tcBorders>
              <w:tl2br w:val="nil"/>
              <w:tr2bl w:val="nil"/>
            </w:tcBorders>
            <w:noWrap w:val="0"/>
            <w:vAlign w:val="center"/>
          </w:tcPr>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中等生物量受影响</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沉积物较少移动</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大部分油不渗入沉积物</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油可能存留约一年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8</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掩蔽的岩石海岸和沿岸人工构筑物</w:t>
            </w:r>
          </w:p>
        </w:tc>
        <w:tc>
          <w:tcPr>
            <w:tcW w:w="4783" w:type="dxa"/>
            <w:tcBorders>
              <w:tl2br w:val="nil"/>
              <w:tr2bl w:val="nil"/>
            </w:tcBorders>
            <w:noWrap w:val="0"/>
            <w:vAlign w:val="center"/>
          </w:tcPr>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中等到高生物量受影响</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该地区波浪作用较少</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油可能损害中间潮汐地带</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油可能存留多年</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必须除去聚集的重质油</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需优先保护和清除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9" w:type="dxa"/>
            <w:vMerge w:val="restart"/>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9</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掩蔽的潮间带</w:t>
            </w:r>
          </w:p>
        </w:tc>
        <w:tc>
          <w:tcPr>
            <w:tcW w:w="4783" w:type="dxa"/>
            <w:tcBorders>
              <w:tl2br w:val="nil"/>
              <w:tr2bl w:val="nil"/>
            </w:tcBorders>
            <w:noWrap w:val="0"/>
            <w:vAlign w:val="center"/>
          </w:tcPr>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高生物量受影响</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波浪作用极少</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油可能存留多年</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必须除去累积的重质油；不推荐清除</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需优先保护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9" w:type="dxa"/>
            <w:vMerge w:val="continue"/>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p>
        </w:tc>
        <w:tc>
          <w:tcPr>
            <w:tcW w:w="1371" w:type="dxa"/>
            <w:tcBorders>
              <w:tl2br w:val="nil"/>
              <w:tr2bl w:val="nil"/>
            </w:tcBorders>
            <w:noWrap w:val="0"/>
            <w:vAlign w:val="center"/>
          </w:tcPr>
          <w:p>
            <w:pPr>
              <w:widowControl w:val="0"/>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10</w:t>
            </w:r>
          </w:p>
        </w:tc>
        <w:tc>
          <w:tcPr>
            <w:tcW w:w="2120" w:type="dxa"/>
            <w:tcBorders>
              <w:tl2br w:val="nil"/>
              <w:tr2bl w:val="nil"/>
            </w:tcBorders>
            <w:noWrap w:val="0"/>
            <w:vAlign w:val="center"/>
          </w:tcPr>
          <w:p>
            <w:pPr>
              <w:widowControl w:val="0"/>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沼泽地、红树林</w:t>
            </w:r>
          </w:p>
        </w:tc>
        <w:tc>
          <w:tcPr>
            <w:tcW w:w="4783" w:type="dxa"/>
            <w:tcBorders>
              <w:tl2br w:val="nil"/>
              <w:tr2bl w:val="nil"/>
            </w:tcBorders>
            <w:noWrap w:val="0"/>
            <w:vAlign w:val="center"/>
          </w:tcPr>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肥沃的水栖息动植物环境</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非常低的潮汐能量</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高沉降速度将油带入沉积物中</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油可能存留多年</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清除的损害可能要比让油留下自然降解的损害大</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用分散剂或清洁剂比用机械清除更有益</w:t>
            </w:r>
          </w:p>
          <w:p>
            <w:pPr>
              <w:widowControl w:val="0"/>
              <w:numPr>
                <w:ilvl w:val="0"/>
                <w:numId w:val="2"/>
              </w:numPr>
              <w:tabs>
                <w:tab w:val="left" w:pos="176"/>
              </w:tabs>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该地区应接受最优先保护</w:t>
            </w:r>
          </w:p>
        </w:tc>
      </w:tr>
    </w:tbl>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注意：</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4"/>
          <w:szCs w:val="24"/>
          <w:lang w:eastAsia="zh-CN"/>
        </w:rPr>
        <w:t>◆</w:t>
      </w:r>
      <w:r>
        <w:rPr>
          <w:rFonts w:hint="eastAsia" w:ascii="仿宋" w:hAnsi="仿宋" w:eastAsia="仿宋" w:cs="仿宋"/>
          <w:color w:val="auto"/>
          <w:sz w:val="28"/>
          <w:szCs w:val="28"/>
        </w:rPr>
        <w:t>对于敏感性高需要优先保护的岸线，可预先采取保护措施以尽量减轻溢油对它的污染。</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由于岸线清除工作量很大，在一时人力物力不足的情况下，可按岸线的相对敏感性排列一下清除作业的先后次序，对敏感性高的岸线优先清除。</w:t>
      </w:r>
    </w:p>
    <w:p>
      <w:pPr>
        <w:spacing w:line="360" w:lineRule="auto"/>
        <w:ind w:firstLine="560" w:firstLineChars="200"/>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沙滩为中敏感性岸线，在夏天旅游季节则为高敏感性，应最优先保护</w:t>
      </w:r>
      <w:r>
        <w:rPr>
          <w:rFonts w:hint="eastAsia" w:ascii="仿宋" w:hAnsi="仿宋" w:eastAsia="仿宋" w:cs="仿宋"/>
          <w:color w:val="auto"/>
          <w:sz w:val="28"/>
          <w:szCs w:val="28"/>
          <w:lang w:eastAsia="zh-CN"/>
        </w:rPr>
        <w:t>。</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在ESI为1的低敏感性岸线，在海鸟孵卵季节就为高敏感性，应优先保护。</w:t>
      </w:r>
    </w:p>
    <w:p>
      <w:pPr>
        <w:spacing w:line="360" w:lineRule="auto"/>
        <w:ind w:firstLine="562" w:firstLineChars="200"/>
        <w:jc w:val="both"/>
        <w:rPr>
          <w:rFonts w:hint="eastAsia" w:ascii="仿宋" w:hAnsi="仿宋" w:eastAsia="仿宋" w:cs="仿宋"/>
          <w:b/>
          <w:bCs/>
          <w:color w:val="auto"/>
          <w:sz w:val="28"/>
          <w:szCs w:val="28"/>
        </w:rPr>
      </w:pPr>
      <w:bookmarkStart w:id="55" w:name="_Toc4756"/>
      <w:r>
        <w:rPr>
          <w:rFonts w:hint="eastAsia" w:ascii="仿宋" w:hAnsi="仿宋" w:eastAsia="仿宋" w:cs="仿宋"/>
          <w:b/>
          <w:bCs/>
          <w:color w:val="auto"/>
          <w:sz w:val="28"/>
          <w:szCs w:val="28"/>
          <w:lang w:val="en-US" w:eastAsia="zh-CN"/>
        </w:rPr>
        <w:t>5</w:t>
      </w:r>
      <w:r>
        <w:rPr>
          <w:rFonts w:hint="eastAsia" w:ascii="仿宋" w:hAnsi="仿宋" w:eastAsia="仿宋" w:cs="仿宋"/>
          <w:b/>
          <w:bCs/>
          <w:color w:val="auto"/>
          <w:sz w:val="28"/>
          <w:szCs w:val="28"/>
        </w:rPr>
        <w:t>.1.3</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岸线围护方案</w:t>
      </w:r>
      <w:bookmarkEnd w:id="55"/>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为保护岸线应在溢油事故发生后立即进行海上清除作业以防止溢油扩散污染岸线，并根据溢油运移动向对可能会受到溢油威胁的岸线和敏感区采取保护措施。岸线围护方案如下：</w:t>
      </w:r>
    </w:p>
    <w:p>
      <w:pPr>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（1）隔离围栏</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隔离围栏</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见图</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rPr>
        <w:t>，围油栏横跨或围绕敏感区并用锚将围油栏固顶，逼近的油被围油栏转移并聚集后用撇油器或吸油材料等将油回收。隔离围栏用来保护水流小于1节、破碎浪小于0.5 m的小海湾、港湾入口、河流或支流出入口。</w:t>
      </w:r>
    </w:p>
    <w:p>
      <w:pPr>
        <w:keepLines w:val="0"/>
        <w:pageBreakBefore w:val="0"/>
        <w:widowControl/>
        <w:kinsoku/>
        <w:wordWrap/>
        <w:overflowPunct/>
        <w:topLinePunct w:val="0"/>
        <w:autoSpaceDE/>
        <w:autoSpaceDN/>
        <w:bidi w:val="0"/>
        <w:adjustRightInd/>
        <w:snapToGrid/>
        <w:spacing w:line="240" w:lineRule="auto"/>
        <w:ind w:firstLine="560" w:firstLineChars="200"/>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058160" cy="1500505"/>
            <wp:effectExtent l="0" t="0" r="8890" b="4445"/>
            <wp:docPr id="6" name="图片 6"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片3"/>
                    <pic:cNvPicPr>
                      <a:picLocks noChangeAspect="1"/>
                    </pic:cNvPicPr>
                  </pic:nvPicPr>
                  <pic:blipFill>
                    <a:blip r:embed="rId11"/>
                    <a:stretch>
                      <a:fillRect/>
                    </a:stretch>
                  </pic:blipFill>
                  <pic:spPr>
                    <a:xfrm>
                      <a:off x="0" y="0"/>
                      <a:ext cx="3058160" cy="150050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5</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1</w:t>
      </w:r>
      <w:r>
        <w:rPr>
          <w:rFonts w:hint="eastAsia" w:ascii="仿宋" w:hAnsi="仿宋" w:eastAsia="仿宋" w:cs="仿宋"/>
          <w:b/>
          <w:color w:val="auto"/>
          <w:sz w:val="24"/>
          <w:szCs w:val="24"/>
        </w:rPr>
        <w:t xml:space="preserve"> 隔离围栏</w:t>
      </w:r>
    </w:p>
    <w:p>
      <w:pPr>
        <w:keepNext w:val="0"/>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（2）转移围栏</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转移围栏</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见图</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rPr>
        <w:t>，围油栏的铺设与逼近的油膜成一定的角度。油被围油栏从敏感区转移至低敏感区，并将油聚集后用撇油器回收。转移围栏主要用来保护连续岸线的特定地点，破碎浪小于0.5 m。也可用来保护流速大于1节的小海湾、港湾入口、河流或支流的出入口。</w:t>
      </w:r>
    </w:p>
    <w:p>
      <w:pPr>
        <w:spacing w:before="120" w:after="120" w:line="360" w:lineRule="auto"/>
        <w:ind w:left="280" w:hanging="280" w:hangingChars="100"/>
        <w:jc w:val="center"/>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eastAsia="zh-CN"/>
        </w:rPr>
        <w:drawing>
          <wp:inline distT="0" distB="0" distL="114300" distR="114300">
            <wp:extent cx="3067685" cy="1466215"/>
            <wp:effectExtent l="0" t="0" r="18415" b="635"/>
            <wp:docPr id="7" name="图片 7"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4"/>
                    <pic:cNvPicPr>
                      <a:picLocks noChangeAspect="1"/>
                    </pic:cNvPicPr>
                  </pic:nvPicPr>
                  <pic:blipFill>
                    <a:blip r:embed="rId12"/>
                    <a:stretch>
                      <a:fillRect/>
                    </a:stretch>
                  </pic:blipFill>
                  <pic:spPr>
                    <a:xfrm>
                      <a:off x="0" y="0"/>
                      <a:ext cx="3067685" cy="1466215"/>
                    </a:xfrm>
                    <a:prstGeom prst="rect">
                      <a:avLst/>
                    </a:prstGeom>
                  </pic:spPr>
                </pic:pic>
              </a:graphicData>
            </a:graphic>
          </wp:inline>
        </w:drawing>
      </w:r>
      <w:r>
        <w:rPr>
          <w:rFonts w:hint="eastAsia" w:ascii="仿宋" w:hAnsi="仿宋" w:eastAsia="仿宋" w:cs="仿宋"/>
          <w:color w:val="auto"/>
          <w:sz w:val="28"/>
          <w:szCs w:val="28"/>
          <w:lang w:val="en-US" w:eastAsia="zh-CN"/>
        </w:rPr>
        <w:t xml:space="preserve">                </w:t>
      </w:r>
    </w:p>
    <w:p>
      <w:pPr>
        <w:spacing w:before="120" w:after="120" w:line="360" w:lineRule="auto"/>
        <w:ind w:left="280" w:hanging="280" w:hangingChars="100"/>
        <w:jc w:val="center"/>
        <w:rPr>
          <w:rFonts w:hint="eastAsia" w:ascii="仿宋" w:hAnsi="仿宋" w:eastAsia="仿宋" w:cs="仿宋"/>
          <w:b/>
          <w:color w:val="auto"/>
          <w:sz w:val="28"/>
          <w:szCs w:val="28"/>
        </w:rPr>
      </w:pPr>
      <w:r>
        <w:rPr>
          <w:rFonts w:hint="eastAsia" w:ascii="仿宋" w:hAnsi="仿宋" w:eastAsia="仿宋" w:cs="仿宋"/>
          <w:color w:val="auto"/>
          <w:sz w:val="28"/>
          <w:szCs w:val="28"/>
          <w:lang w:val="en-US" w:eastAsia="zh-CN"/>
        </w:rPr>
        <w:t xml:space="preserve"> </w:t>
      </w: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5</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2</w:t>
      </w:r>
      <w:r>
        <w:rPr>
          <w:rFonts w:hint="eastAsia" w:ascii="仿宋" w:hAnsi="仿宋" w:eastAsia="仿宋" w:cs="仿宋"/>
          <w:b/>
          <w:color w:val="auto"/>
          <w:sz w:val="24"/>
          <w:szCs w:val="24"/>
        </w:rPr>
        <w:t xml:space="preserve"> 转移围栏</w:t>
      </w:r>
    </w:p>
    <w:p>
      <w:pPr>
        <w:spacing w:line="360" w:lineRule="auto"/>
        <w:ind w:firstLine="482"/>
        <w:jc w:val="both"/>
        <w:rPr>
          <w:rFonts w:hint="eastAsia" w:ascii="仿宋" w:hAnsi="仿宋" w:eastAsia="仿宋" w:cs="仿宋"/>
          <w:b/>
          <w:color w:val="auto"/>
          <w:sz w:val="28"/>
          <w:szCs w:val="28"/>
        </w:rPr>
      </w:pPr>
      <w:r>
        <w:rPr>
          <w:rFonts w:hint="eastAsia" w:ascii="仿宋" w:hAnsi="仿宋" w:eastAsia="仿宋" w:cs="仿宋"/>
          <w:b/>
          <w:color w:val="auto"/>
          <w:sz w:val="28"/>
          <w:szCs w:val="28"/>
        </w:rPr>
        <w:t>（3）拦截围栏</w:t>
      </w:r>
    </w:p>
    <w:p>
      <w:pPr>
        <w:spacing w:line="360" w:lineRule="auto"/>
        <w:ind w:firstLine="480"/>
        <w:jc w:val="both"/>
        <w:rPr>
          <w:rFonts w:hint="eastAsia" w:ascii="仿宋" w:hAnsi="仿宋" w:eastAsia="仿宋" w:cs="仿宋"/>
          <w:color w:val="auto"/>
          <w:sz w:val="28"/>
          <w:szCs w:val="28"/>
        </w:rPr>
      </w:pPr>
      <w:r>
        <w:rPr>
          <w:rFonts w:hint="eastAsia" w:ascii="仿宋" w:hAnsi="仿宋" w:eastAsia="仿宋" w:cs="仿宋"/>
          <w:color w:val="auto"/>
          <w:sz w:val="28"/>
          <w:szCs w:val="28"/>
        </w:rPr>
        <w:t>拦截围栏（岸线栅栏）是专为保护岸线的围油栏，以保护潮汐区泥砂洼地的岸线</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见图</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-3。岸线栅栏通常由三个软管结合在一起组成，敷设时下部两个软管满水，上部第三根软管则充满空气以提供足够的浮力。岸线栅栏随潮汐涨落浮在水中或紧密地搁置在岸滩上，不适用于岩石岸线。</w:t>
      </w:r>
    </w:p>
    <w:p>
      <w:pPr>
        <w:spacing w:line="360" w:lineRule="auto"/>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628390" cy="1426845"/>
            <wp:effectExtent l="0" t="0" r="10160" b="1905"/>
            <wp:docPr id="8" name="图片 8"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片5"/>
                    <pic:cNvPicPr>
                      <a:picLocks noChangeAspect="1"/>
                    </pic:cNvPicPr>
                  </pic:nvPicPr>
                  <pic:blipFill>
                    <a:blip r:embed="rId13"/>
                    <a:stretch>
                      <a:fillRect/>
                    </a:stretch>
                  </pic:blipFill>
                  <pic:spPr>
                    <a:xfrm>
                      <a:off x="0" y="0"/>
                      <a:ext cx="3628390" cy="142684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5</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3</w:t>
      </w:r>
      <w:r>
        <w:rPr>
          <w:rFonts w:hint="eastAsia" w:ascii="仿宋" w:hAnsi="仿宋" w:eastAsia="仿宋" w:cs="仿宋"/>
          <w:b/>
          <w:color w:val="auto"/>
          <w:sz w:val="24"/>
          <w:szCs w:val="24"/>
        </w:rPr>
        <w:t xml:space="preserve"> 拦截围栏</w:t>
      </w:r>
    </w:p>
    <w:p>
      <w:pPr>
        <w:keepNext w:val="0"/>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cs="仿宋"/>
          <w:b/>
          <w:color w:val="auto"/>
          <w:sz w:val="28"/>
          <w:szCs w:val="28"/>
        </w:rPr>
      </w:pPr>
    </w:p>
    <w:p>
      <w:pPr>
        <w:keepNext w:val="0"/>
        <w:keepLines w:val="0"/>
        <w:pageBreakBefore w:val="0"/>
        <w:widowControl/>
        <w:kinsoku/>
        <w:wordWrap/>
        <w:overflowPunct/>
        <w:topLinePunct w:val="0"/>
        <w:autoSpaceDE/>
        <w:autoSpaceDN/>
        <w:bidi w:val="0"/>
        <w:adjustRightInd/>
        <w:snapToGrid/>
        <w:spacing w:line="360" w:lineRule="auto"/>
        <w:ind w:firstLine="562" w:firstLineChars="200"/>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（4）吸附围栏</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吸附围栏是栅栏形吸油材料沿着岸线或敏感区围栏，以吸附逼近岸线或敏感区的油膜。用于水流速度低的地方收集薄层油。一旦吸油材料浸透了油需要更换并回收处理。也可采用木头、竹子、渔网、稻草、麦秸、椰子壳等材料做成的简易围油栏保护沼泽地和养殖区</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见图</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4488180" cy="1355090"/>
            <wp:effectExtent l="0" t="0" r="7620" b="16510"/>
            <wp:docPr id="9" name="图片 9" descr="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图片6"/>
                    <pic:cNvPicPr>
                      <a:picLocks noChangeAspect="1"/>
                    </pic:cNvPicPr>
                  </pic:nvPicPr>
                  <pic:blipFill>
                    <a:blip r:embed="rId14"/>
                    <a:stretch>
                      <a:fillRect/>
                    </a:stretch>
                  </pic:blipFill>
                  <pic:spPr>
                    <a:xfrm>
                      <a:off x="0" y="0"/>
                      <a:ext cx="4488180" cy="135509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5</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4</w:t>
      </w:r>
      <w:r>
        <w:rPr>
          <w:rFonts w:hint="eastAsia" w:ascii="仿宋" w:hAnsi="仿宋" w:eastAsia="仿宋" w:cs="仿宋"/>
          <w:b/>
          <w:color w:val="auto"/>
          <w:sz w:val="24"/>
          <w:szCs w:val="24"/>
        </w:rPr>
        <w:t xml:space="preserve"> 吸附围栏</w:t>
      </w:r>
    </w:p>
    <w:p>
      <w:pPr>
        <w:spacing w:line="360" w:lineRule="auto"/>
        <w:ind w:firstLine="562" w:firstLineChars="200"/>
        <w:jc w:val="both"/>
        <w:rPr>
          <w:rFonts w:hint="eastAsia" w:ascii="仿宋" w:hAnsi="仿宋" w:eastAsia="仿宋" w:cs="仿宋"/>
          <w:b/>
          <w:bCs/>
          <w:color w:val="auto"/>
          <w:sz w:val="28"/>
          <w:szCs w:val="28"/>
        </w:rPr>
      </w:pPr>
      <w:r>
        <w:rPr>
          <w:rFonts w:hint="eastAsia" w:ascii="仿宋" w:hAnsi="仿宋" w:eastAsia="仿宋" w:cs="仿宋"/>
          <w:b/>
          <w:bCs/>
          <w:color w:val="auto"/>
          <w:sz w:val="28"/>
          <w:szCs w:val="28"/>
        </w:rPr>
        <w:t>（5）滩肩围栏</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滩肩围栏</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见图</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。在砂质或砾石海滩，沿上潮间区构筑海沟或滩肩以防止沉积或附着在海滩上的油在涨潮时被冲至后海岸。滩肩的构筑可用人工方法，必要时紧急租用推土机或压路机。</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544570" cy="1365885"/>
            <wp:effectExtent l="0" t="0" r="17780" b="5715"/>
            <wp:docPr id="10" name="图片 10" descr="图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图片7"/>
                    <pic:cNvPicPr>
                      <a:picLocks noChangeAspect="1"/>
                    </pic:cNvPicPr>
                  </pic:nvPicPr>
                  <pic:blipFill>
                    <a:blip r:embed="rId15"/>
                    <a:stretch>
                      <a:fillRect/>
                    </a:stretch>
                  </pic:blipFill>
                  <pic:spPr>
                    <a:xfrm>
                      <a:off x="0" y="0"/>
                      <a:ext cx="3544570" cy="136588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5</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5</w:t>
      </w:r>
      <w:r>
        <w:rPr>
          <w:rFonts w:hint="eastAsia" w:ascii="仿宋" w:hAnsi="仿宋" w:eastAsia="仿宋" w:cs="仿宋"/>
          <w:b/>
          <w:color w:val="auto"/>
          <w:sz w:val="24"/>
          <w:szCs w:val="24"/>
        </w:rPr>
        <w:t xml:space="preserve"> 滩肩围栏</w:t>
      </w:r>
      <w:bookmarkStart w:id="56" w:name="_Toc12788"/>
      <w:bookmarkStart w:id="57" w:name="_Toc14692"/>
    </w:p>
    <w:p>
      <w:pPr>
        <w:spacing w:line="360" w:lineRule="auto"/>
        <w:ind w:firstLine="562" w:firstLineChars="200"/>
        <w:jc w:val="both"/>
        <w:outlineLvl w:val="1"/>
        <w:rPr>
          <w:rFonts w:hint="eastAsia" w:ascii="仿宋" w:hAnsi="仿宋" w:eastAsia="仿宋" w:cs="仿宋"/>
          <w:b/>
          <w:bCs/>
          <w:color w:val="auto"/>
          <w:sz w:val="28"/>
          <w:szCs w:val="28"/>
        </w:rPr>
      </w:pPr>
      <w:bookmarkStart w:id="58" w:name="_Toc5721"/>
      <w:r>
        <w:rPr>
          <w:rFonts w:hint="eastAsia" w:ascii="仿宋" w:hAnsi="仿宋" w:eastAsia="仿宋" w:cs="仿宋"/>
          <w:b/>
          <w:bCs/>
          <w:color w:val="auto"/>
          <w:sz w:val="28"/>
          <w:szCs w:val="28"/>
          <w:lang w:val="en-US" w:eastAsia="zh-CN"/>
        </w:rPr>
        <w:t>5</w:t>
      </w:r>
      <w:r>
        <w:rPr>
          <w:rFonts w:hint="eastAsia" w:ascii="仿宋" w:hAnsi="仿宋" w:eastAsia="仿宋" w:cs="仿宋"/>
          <w:b/>
          <w:bCs/>
          <w:color w:val="auto"/>
          <w:sz w:val="28"/>
          <w:szCs w:val="28"/>
        </w:rPr>
        <w:t>.2</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生态敏感区的污染清除方案</w:t>
      </w:r>
      <w:bookmarkEnd w:id="56"/>
      <w:bookmarkEnd w:id="57"/>
      <w:bookmarkEnd w:id="58"/>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对于生态敏感区，污染清除分为优先采用的、可采用的、不可行的和避免采用的几种方案</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见表</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rPr>
        <w:t>-3，分别说明如下：</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540" w:leftChars="0" w:right="0" w:rightChars="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◆优先采用的——引起最小的生态影响</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540" w:leftChars="0" w:right="0" w:rightChars="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◆可采用的——可以采用，但能引起某些生态影响</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540" w:leftChars="0" w:right="0" w:rightChars="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◆不可行的——可能会引起严重有害的生态影响</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rPr>
        <w:t>◆避免采用的——生态上不能接受的，通常会引起严重有害的生态影响</w:t>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5</w:t>
      </w:r>
      <w:r>
        <w:rPr>
          <w:rFonts w:hint="eastAsia" w:ascii="仿宋" w:hAnsi="仿宋" w:eastAsia="仿宋" w:cs="仿宋"/>
          <w:b/>
          <w:color w:val="auto"/>
          <w:sz w:val="28"/>
          <w:szCs w:val="28"/>
        </w:rPr>
        <w:t>-3 生态敏感区的污染清除技术方案</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454"/>
        <w:gridCol w:w="2023"/>
        <w:gridCol w:w="1924"/>
        <w:gridCol w:w="1935"/>
        <w:gridCol w:w="167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70" w:type="dxa"/>
            <w:vMerge w:val="restart"/>
            <w:tcBorders>
              <w:tl2br w:val="nil"/>
              <w:tr2bl w:val="nil"/>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敏感资源</w:t>
            </w:r>
          </w:p>
        </w:tc>
        <w:tc>
          <w:tcPr>
            <w:tcW w:w="7634" w:type="dxa"/>
            <w:gridSpan w:val="4"/>
            <w:tcBorders>
              <w:tl2br w:val="nil"/>
              <w:tr2bl w:val="nil"/>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清除技术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70" w:type="dxa"/>
            <w:vMerge w:val="continue"/>
            <w:tcBorders>
              <w:tl2br w:val="nil"/>
              <w:tr2bl w:val="nil"/>
            </w:tcBorders>
            <w:noWrap w:val="0"/>
            <w:vAlign w:val="center"/>
          </w:tcPr>
          <w:p>
            <w:pPr>
              <w:widowControl w:val="0"/>
              <w:jc w:val="center"/>
              <w:rPr>
                <w:rFonts w:hint="eastAsia" w:ascii="仿宋" w:hAnsi="仿宋" w:eastAsia="仿宋" w:cs="仿宋"/>
                <w:b/>
                <w:color w:val="auto"/>
                <w:sz w:val="24"/>
                <w:szCs w:val="24"/>
              </w:rPr>
            </w:pPr>
          </w:p>
        </w:tc>
        <w:tc>
          <w:tcPr>
            <w:tcW w:w="2045" w:type="dxa"/>
            <w:tcBorders>
              <w:tl2br w:val="nil"/>
              <w:tr2bl w:val="nil"/>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优先采用的</w:t>
            </w:r>
          </w:p>
        </w:tc>
        <w:tc>
          <w:tcPr>
            <w:tcW w:w="1945" w:type="dxa"/>
            <w:tcBorders>
              <w:tl2br w:val="nil"/>
              <w:tr2bl w:val="nil"/>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可采用的</w:t>
            </w:r>
          </w:p>
        </w:tc>
        <w:tc>
          <w:tcPr>
            <w:tcW w:w="1956" w:type="dxa"/>
            <w:tcBorders>
              <w:tl2br w:val="nil"/>
              <w:tr2bl w:val="nil"/>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不建议采用的</w:t>
            </w:r>
          </w:p>
        </w:tc>
        <w:tc>
          <w:tcPr>
            <w:tcW w:w="1688" w:type="dxa"/>
            <w:tcBorders>
              <w:tl2br w:val="nil"/>
              <w:tr2bl w:val="nil"/>
            </w:tcBorders>
            <w:noWrap w:val="0"/>
            <w:vAlign w:val="center"/>
          </w:tcPr>
          <w:p>
            <w:pPr>
              <w:widowControl w:val="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避免采用的</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Borders>
              <w:tl2br w:val="nil"/>
              <w:tr2bl w:val="nil"/>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岩石潮间带</w:t>
            </w:r>
          </w:p>
        </w:tc>
        <w:tc>
          <w:tcPr>
            <w:tcW w:w="2045"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自然恢复</w:t>
            </w:r>
          </w:p>
        </w:tc>
        <w:tc>
          <w:tcPr>
            <w:tcW w:w="1945" w:type="dxa"/>
            <w:tcBorders>
              <w:tl2br w:val="nil"/>
              <w:tr2bl w:val="nil"/>
            </w:tcBorders>
            <w:noWrap w:val="0"/>
            <w:vAlign w:val="center"/>
          </w:tcPr>
          <w:p>
            <w:pPr>
              <w:widowControl w:val="0"/>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rPr>
              <w:t>围油栏、</w:t>
            </w:r>
            <w:r>
              <w:rPr>
                <w:rFonts w:hint="eastAsia" w:ascii="仿宋" w:hAnsi="仿宋" w:eastAsia="仿宋" w:cs="仿宋"/>
                <w:color w:val="auto"/>
                <w:sz w:val="24"/>
                <w:szCs w:val="24"/>
                <w:lang w:eastAsia="zh-CN"/>
              </w:rPr>
              <w:t>收油机</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低压冲洗</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吸油材料</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人工割除</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分散剂</w:t>
            </w:r>
          </w:p>
        </w:tc>
        <w:tc>
          <w:tcPr>
            <w:tcW w:w="1956"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高压冲洗</w:t>
            </w:r>
          </w:p>
        </w:tc>
        <w:tc>
          <w:tcPr>
            <w:tcW w:w="1688"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焚烧</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沉降剂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70" w:type="dxa"/>
            <w:tcBorders>
              <w:tl2br w:val="nil"/>
              <w:tr2bl w:val="nil"/>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软底潮间带</w:t>
            </w:r>
          </w:p>
        </w:tc>
        <w:tc>
          <w:tcPr>
            <w:tcW w:w="2045"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自然恢复</w:t>
            </w:r>
          </w:p>
        </w:tc>
        <w:tc>
          <w:tcPr>
            <w:tcW w:w="1945"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人工清除</w:t>
            </w:r>
          </w:p>
        </w:tc>
        <w:tc>
          <w:tcPr>
            <w:tcW w:w="1956"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清除底质</w:t>
            </w:r>
          </w:p>
        </w:tc>
        <w:tc>
          <w:tcPr>
            <w:tcW w:w="1688"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沉降剂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Borders>
              <w:tl2br w:val="nil"/>
              <w:tr2bl w:val="nil"/>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潮间带</w:t>
            </w:r>
          </w:p>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海草床</w:t>
            </w:r>
          </w:p>
        </w:tc>
        <w:tc>
          <w:tcPr>
            <w:tcW w:w="2045"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自然恢复</w:t>
            </w:r>
          </w:p>
        </w:tc>
        <w:tc>
          <w:tcPr>
            <w:tcW w:w="1945"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低压冲洗</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生物挽救</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分散剂</w:t>
            </w:r>
          </w:p>
        </w:tc>
        <w:tc>
          <w:tcPr>
            <w:tcW w:w="1956"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人工清除</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吸油材料</w:t>
            </w:r>
          </w:p>
        </w:tc>
        <w:tc>
          <w:tcPr>
            <w:tcW w:w="1688"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沉降剂</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清除底质</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高压冲洗</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真空/泵吸</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人工割除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Borders>
              <w:tl2br w:val="nil"/>
              <w:tr2bl w:val="nil"/>
            </w:tcBorders>
            <w:noWrap w:val="0"/>
            <w:vAlign w:val="center"/>
          </w:tcPr>
          <w:p>
            <w:pPr>
              <w:widowControl w:val="0"/>
              <w:jc w:val="center"/>
              <w:rPr>
                <w:rFonts w:hint="eastAsia" w:ascii="仿宋" w:hAnsi="仿宋" w:eastAsia="仿宋" w:cs="仿宋"/>
                <w:color w:val="auto"/>
                <w:sz w:val="24"/>
                <w:szCs w:val="24"/>
              </w:rPr>
            </w:pPr>
            <w:r>
              <w:rPr>
                <w:rFonts w:hint="eastAsia" w:ascii="仿宋" w:hAnsi="仿宋" w:eastAsia="仿宋" w:cs="仿宋"/>
                <w:color w:val="auto"/>
                <w:sz w:val="24"/>
                <w:szCs w:val="24"/>
              </w:rPr>
              <w:t>盐碱沼泽地</w:t>
            </w:r>
          </w:p>
        </w:tc>
        <w:tc>
          <w:tcPr>
            <w:tcW w:w="2045" w:type="dxa"/>
            <w:tcBorders>
              <w:tl2br w:val="nil"/>
              <w:tr2bl w:val="nil"/>
            </w:tcBorders>
            <w:noWrap w:val="0"/>
            <w:vAlign w:val="center"/>
          </w:tcPr>
          <w:p>
            <w:pPr>
              <w:widowControl w:val="0"/>
              <w:jc w:val="both"/>
              <w:rPr>
                <w:rFonts w:hint="eastAsia" w:ascii="仿宋" w:hAnsi="仿宋" w:eastAsia="仿宋" w:cs="仿宋"/>
                <w:color w:val="auto"/>
                <w:sz w:val="24"/>
                <w:szCs w:val="24"/>
                <w:lang w:eastAsia="zh-CN"/>
              </w:rPr>
            </w:pPr>
            <w:r>
              <w:rPr>
                <w:rFonts w:hint="eastAsia" w:ascii="仿宋" w:hAnsi="仿宋" w:eastAsia="仿宋" w:cs="仿宋"/>
                <w:color w:val="auto"/>
                <w:sz w:val="24"/>
                <w:szCs w:val="24"/>
              </w:rPr>
              <w:t>围油栏、</w:t>
            </w:r>
            <w:r>
              <w:rPr>
                <w:rFonts w:hint="eastAsia" w:ascii="仿宋" w:hAnsi="仿宋" w:eastAsia="仿宋" w:cs="仿宋"/>
                <w:color w:val="auto"/>
                <w:sz w:val="24"/>
                <w:szCs w:val="24"/>
                <w:lang w:eastAsia="zh-CN"/>
              </w:rPr>
              <w:t>收油机</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低压冲水</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加强排水</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自然恢复</w:t>
            </w:r>
          </w:p>
        </w:tc>
        <w:tc>
          <w:tcPr>
            <w:tcW w:w="1945"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分散剂</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吸油材料</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生物挽救</w:t>
            </w:r>
          </w:p>
        </w:tc>
        <w:tc>
          <w:tcPr>
            <w:tcW w:w="1956"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人工割除</w:t>
            </w:r>
          </w:p>
        </w:tc>
        <w:tc>
          <w:tcPr>
            <w:tcW w:w="1688" w:type="dxa"/>
            <w:tcBorders>
              <w:tl2br w:val="nil"/>
              <w:tr2bl w:val="nil"/>
            </w:tcBorders>
            <w:noWrap w:val="0"/>
            <w:vAlign w:val="center"/>
          </w:tcPr>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焚烧</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高压冲洗</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人工清除</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沉降剂</w:t>
            </w:r>
          </w:p>
          <w:p>
            <w:pPr>
              <w:widowControl w:val="0"/>
              <w:jc w:val="both"/>
              <w:rPr>
                <w:rFonts w:hint="eastAsia" w:ascii="仿宋" w:hAnsi="仿宋" w:eastAsia="仿宋" w:cs="仿宋"/>
                <w:color w:val="auto"/>
                <w:sz w:val="24"/>
                <w:szCs w:val="24"/>
              </w:rPr>
            </w:pPr>
            <w:r>
              <w:rPr>
                <w:rFonts w:hint="eastAsia" w:ascii="仿宋" w:hAnsi="仿宋" w:eastAsia="仿宋" w:cs="仿宋"/>
                <w:color w:val="auto"/>
                <w:sz w:val="24"/>
                <w:szCs w:val="24"/>
              </w:rPr>
              <w:t>清除底质</w:t>
            </w:r>
          </w:p>
        </w:tc>
      </w:tr>
    </w:tbl>
    <w:p>
      <w:pPr>
        <w:pStyle w:val="25"/>
        <w:keepNext/>
        <w:keepLines w:val="0"/>
        <w:pageBreakBefore w:val="0"/>
        <w:widowControl/>
        <w:kinsoku/>
        <w:wordWrap/>
        <w:overflowPunct/>
        <w:topLinePunct w:val="0"/>
        <w:autoSpaceDE/>
        <w:autoSpaceDN/>
        <w:bidi w:val="0"/>
        <w:adjustRightInd/>
        <w:snapToGrid/>
        <w:spacing w:before="157" w:after="157" w:line="240" w:lineRule="auto"/>
        <w:ind w:left="0"/>
        <w:jc w:val="both"/>
        <w:textAlignment w:val="auto"/>
        <w:outlineLvl w:val="9"/>
        <w:rPr>
          <w:rFonts w:hint="eastAsia" w:ascii="仿宋" w:hAnsi="仿宋" w:eastAsia="仿宋" w:cs="仿宋"/>
          <w:b/>
          <w:bCs/>
          <w:color w:val="auto"/>
          <w:sz w:val="28"/>
          <w:szCs w:val="28"/>
          <w:lang w:val="en-US" w:eastAsia="zh-CN"/>
        </w:rPr>
      </w:pPr>
      <w:bookmarkStart w:id="59" w:name="_Toc17834"/>
      <w:bookmarkStart w:id="60" w:name="_Toc29383"/>
    </w:p>
    <w:p>
      <w:pPr>
        <w:spacing w:line="360" w:lineRule="auto"/>
        <w:ind w:firstLine="562" w:firstLineChars="200"/>
        <w:jc w:val="both"/>
        <w:outlineLvl w:val="0"/>
        <w:rPr>
          <w:rFonts w:hint="eastAsia" w:ascii="仿宋" w:hAnsi="仿宋" w:eastAsia="仿宋" w:cs="仿宋"/>
          <w:b/>
          <w:bCs/>
          <w:color w:val="auto"/>
          <w:sz w:val="28"/>
          <w:szCs w:val="28"/>
        </w:rPr>
      </w:pPr>
      <w:bookmarkStart w:id="61" w:name="_Toc6762"/>
      <w:r>
        <w:rPr>
          <w:rFonts w:hint="eastAsia" w:ascii="仿宋" w:hAnsi="仿宋" w:eastAsia="仿宋" w:cs="仿宋"/>
          <w:b/>
          <w:bCs/>
          <w:color w:val="auto"/>
          <w:sz w:val="28"/>
          <w:szCs w:val="28"/>
          <w:lang w:val="en-US" w:eastAsia="zh-CN"/>
        </w:rPr>
        <w:t>6、</w:t>
      </w:r>
      <w:r>
        <w:rPr>
          <w:rFonts w:hint="eastAsia" w:ascii="仿宋" w:hAnsi="仿宋" w:eastAsia="仿宋" w:cs="仿宋"/>
          <w:b/>
          <w:bCs/>
          <w:color w:val="auto"/>
          <w:sz w:val="28"/>
          <w:szCs w:val="28"/>
        </w:rPr>
        <w:t>海上污染物回收和清除方案</w:t>
      </w:r>
      <w:bookmarkEnd w:id="59"/>
      <w:bookmarkEnd w:id="60"/>
      <w:bookmarkEnd w:id="61"/>
    </w:p>
    <w:p>
      <w:pPr>
        <w:spacing w:line="360" w:lineRule="auto"/>
        <w:ind w:firstLine="562" w:firstLineChars="200"/>
        <w:jc w:val="both"/>
        <w:outlineLvl w:val="1"/>
        <w:rPr>
          <w:rFonts w:hint="eastAsia" w:ascii="仿宋" w:hAnsi="仿宋" w:eastAsia="仿宋" w:cs="仿宋"/>
          <w:b/>
          <w:bCs/>
          <w:color w:val="auto"/>
          <w:sz w:val="28"/>
          <w:szCs w:val="28"/>
        </w:rPr>
      </w:pPr>
      <w:bookmarkStart w:id="62" w:name="_Toc6492"/>
      <w:bookmarkStart w:id="63" w:name="_Toc6680"/>
      <w:bookmarkStart w:id="64" w:name="_Toc2577"/>
      <w:r>
        <w:rPr>
          <w:rFonts w:hint="eastAsia" w:ascii="仿宋" w:hAnsi="仿宋" w:eastAsia="仿宋" w:cs="仿宋"/>
          <w:b/>
          <w:bCs/>
          <w:color w:val="auto"/>
          <w:sz w:val="28"/>
          <w:szCs w:val="28"/>
          <w:lang w:val="en-US" w:eastAsia="zh-CN"/>
        </w:rPr>
        <w:t>6</w:t>
      </w:r>
      <w:r>
        <w:rPr>
          <w:rFonts w:hint="eastAsia" w:ascii="仿宋" w:hAnsi="仿宋" w:eastAsia="仿宋" w:cs="仿宋"/>
          <w:b/>
          <w:bCs/>
          <w:color w:val="auto"/>
          <w:sz w:val="28"/>
          <w:szCs w:val="28"/>
        </w:rPr>
        <w:t>.1</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溢油围控方案</w:t>
      </w:r>
      <w:bookmarkEnd w:id="62"/>
      <w:bookmarkEnd w:id="63"/>
      <w:bookmarkEnd w:id="64"/>
    </w:p>
    <w:p>
      <w:pPr>
        <w:spacing w:line="360" w:lineRule="auto"/>
        <w:ind w:firstLine="562" w:firstLineChars="200"/>
        <w:jc w:val="both"/>
        <w:rPr>
          <w:rFonts w:hint="eastAsia" w:ascii="仿宋" w:hAnsi="仿宋" w:eastAsia="仿宋" w:cs="仿宋"/>
          <w:b/>
          <w:bCs/>
          <w:color w:val="auto"/>
          <w:sz w:val="28"/>
          <w:szCs w:val="28"/>
        </w:rPr>
      </w:pPr>
      <w:bookmarkStart w:id="65" w:name="_Toc21227"/>
      <w:r>
        <w:rPr>
          <w:rFonts w:hint="eastAsia" w:ascii="仿宋" w:hAnsi="仿宋" w:eastAsia="仿宋" w:cs="仿宋"/>
          <w:b/>
          <w:bCs/>
          <w:color w:val="auto"/>
          <w:sz w:val="28"/>
          <w:szCs w:val="28"/>
          <w:lang w:val="en-US" w:eastAsia="zh-CN"/>
        </w:rPr>
        <w:t>6</w:t>
      </w:r>
      <w:r>
        <w:rPr>
          <w:rFonts w:hint="eastAsia" w:ascii="仿宋" w:hAnsi="仿宋" w:eastAsia="仿宋" w:cs="仿宋"/>
          <w:b/>
          <w:bCs/>
          <w:color w:val="auto"/>
          <w:sz w:val="28"/>
          <w:szCs w:val="28"/>
        </w:rPr>
        <w:t>.1.1</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本公司各类围油栏的配备情况</w:t>
      </w:r>
      <w:bookmarkEnd w:id="65"/>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本公司用于溢油围控的围油栏包括用于开阔水域的WGV-1500围油栏和WQJ1500充气围油栏、用于非开阔水域的WGV-900围油栏、用于岸线防护的WGV-600围油栏、用于岸滩围护的WQV-600</w:t>
      </w:r>
      <w:r>
        <w:rPr>
          <w:rFonts w:hint="eastAsia" w:ascii="仿宋" w:hAnsi="仿宋" w:eastAsia="仿宋" w:cs="仿宋"/>
          <w:color w:val="auto"/>
          <w:sz w:val="28"/>
          <w:szCs w:val="28"/>
          <w:lang w:val="en-US" w:eastAsia="zh-CN"/>
        </w:rPr>
        <w:t>T</w:t>
      </w:r>
      <w:r>
        <w:rPr>
          <w:rFonts w:hint="eastAsia" w:ascii="仿宋" w:hAnsi="仿宋" w:eastAsia="仿宋" w:cs="仿宋"/>
          <w:color w:val="auto"/>
          <w:sz w:val="28"/>
          <w:szCs w:val="28"/>
        </w:rPr>
        <w:t>围油栏，以及WGJ900H防火围油栏</w:t>
      </w:r>
      <w:r>
        <w:rPr>
          <w:rFonts w:hint="eastAsia" w:ascii="仿宋" w:hAnsi="仿宋" w:eastAsia="仿宋" w:cs="仿宋"/>
          <w:color w:val="auto"/>
          <w:sz w:val="28"/>
          <w:szCs w:val="28"/>
          <w:lang w:val="en-US" w:eastAsia="zh-CN"/>
        </w:rPr>
        <w:t>(</w:t>
      </w:r>
      <w:r>
        <w:rPr>
          <w:rFonts w:hint="eastAsia" w:ascii="仿宋" w:hAnsi="仿宋" w:eastAsia="仿宋" w:cs="仿宋"/>
          <w:color w:val="auto"/>
          <w:sz w:val="28"/>
          <w:szCs w:val="28"/>
        </w:rPr>
        <w:t>详见表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w:t>
      </w:r>
      <w:r>
        <w:rPr>
          <w:rFonts w:hint="eastAsia" w:ascii="仿宋" w:hAnsi="仿宋" w:eastAsia="仿宋" w:cs="仿宋"/>
          <w:color w:val="auto"/>
          <w:sz w:val="28"/>
          <w:szCs w:val="28"/>
          <w:lang w:val="en-US" w:eastAsia="zh-CN"/>
        </w:rPr>
        <w:t>)</w:t>
      </w:r>
      <w:r>
        <w:rPr>
          <w:rFonts w:hint="eastAsia" w:ascii="仿宋" w:hAnsi="仿宋" w:eastAsia="仿宋" w:cs="仿宋"/>
          <w:color w:val="auto"/>
          <w:sz w:val="28"/>
          <w:szCs w:val="28"/>
        </w:rPr>
        <w:t>。</w:t>
      </w:r>
    </w:p>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 xml:space="preserve">-1 </w:t>
      </w:r>
      <w:r>
        <w:rPr>
          <w:rFonts w:hint="eastAsia" w:ascii="仿宋" w:hAnsi="仿宋" w:eastAsia="仿宋" w:cs="仿宋"/>
          <w:b/>
          <w:color w:val="auto"/>
          <w:sz w:val="28"/>
          <w:szCs w:val="28"/>
          <w:lang w:eastAsia="zh-CN"/>
        </w:rPr>
        <w:t>本公司</w:t>
      </w:r>
      <w:r>
        <w:rPr>
          <w:rFonts w:hint="eastAsia" w:ascii="仿宋" w:hAnsi="仿宋" w:eastAsia="仿宋" w:cs="仿宋"/>
          <w:b/>
          <w:color w:val="auto"/>
          <w:sz w:val="28"/>
          <w:szCs w:val="28"/>
        </w:rPr>
        <w:t>围油栏汇总表</w:t>
      </w:r>
    </w:p>
    <w:tbl>
      <w:tblPr>
        <w:tblStyle w:val="13"/>
        <w:tblW w:w="484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08"/>
        <w:gridCol w:w="1465"/>
        <w:gridCol w:w="1258"/>
        <w:gridCol w:w="979"/>
        <w:gridCol w:w="1079"/>
        <w:gridCol w:w="341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序号</w:t>
            </w:r>
          </w:p>
        </w:tc>
        <w:tc>
          <w:tcPr>
            <w:tcW w:w="1466"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名称</w:t>
            </w:r>
          </w:p>
        </w:tc>
        <w:tc>
          <w:tcPr>
            <w:tcW w:w="1259"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型号</w:t>
            </w:r>
          </w:p>
        </w:tc>
        <w:tc>
          <w:tcPr>
            <w:tcW w:w="980"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数量</w:t>
            </w:r>
          </w:p>
        </w:tc>
        <w:tc>
          <w:tcPr>
            <w:tcW w:w="1080" w:type="dxa"/>
            <w:tcBorders>
              <w:tl2br w:val="nil"/>
              <w:tr2bl w:val="nil"/>
            </w:tcBorders>
            <w:noWrap w:val="0"/>
            <w:vAlign w:val="center"/>
          </w:tcPr>
          <w:p>
            <w:pPr>
              <w:spacing w:line="240" w:lineRule="auto"/>
              <w:jc w:val="center"/>
              <w:rPr>
                <w:rFonts w:hint="eastAsia" w:ascii="仿宋" w:hAnsi="仿宋" w:eastAsia="仿宋" w:cs="仿宋"/>
                <w:b/>
                <w:color w:val="auto"/>
                <w:sz w:val="24"/>
                <w:szCs w:val="24"/>
                <w:lang w:eastAsia="zh-CN"/>
              </w:rPr>
            </w:pPr>
            <w:r>
              <w:rPr>
                <w:rFonts w:hint="eastAsia" w:ascii="仿宋" w:hAnsi="仿宋" w:eastAsia="仿宋" w:cs="仿宋"/>
                <w:b/>
                <w:color w:val="auto"/>
                <w:sz w:val="24"/>
                <w:szCs w:val="24"/>
              </w:rPr>
              <w:t>厂</w:t>
            </w:r>
            <w:r>
              <w:rPr>
                <w:rFonts w:hint="eastAsia" w:ascii="仿宋" w:hAnsi="仿宋" w:eastAsia="仿宋" w:cs="仿宋"/>
                <w:b/>
                <w:color w:val="auto"/>
                <w:sz w:val="24"/>
                <w:szCs w:val="24"/>
                <w:lang w:eastAsia="zh-CN"/>
              </w:rPr>
              <w:t>家</w:t>
            </w:r>
          </w:p>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名称</w:t>
            </w:r>
          </w:p>
        </w:tc>
        <w:tc>
          <w:tcPr>
            <w:tcW w:w="3417"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主要技术参数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1466"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eastAsia="zh-CN"/>
              </w:rPr>
              <w:t>浮子式</w:t>
            </w:r>
            <w:r>
              <w:rPr>
                <w:rFonts w:hint="eastAsia" w:ascii="仿宋" w:hAnsi="仿宋" w:eastAsia="仿宋" w:cs="仿宋"/>
                <w:color w:val="auto"/>
                <w:sz w:val="24"/>
                <w:szCs w:val="24"/>
              </w:rPr>
              <w:t>围油栏</w:t>
            </w:r>
          </w:p>
        </w:tc>
        <w:tc>
          <w:tcPr>
            <w:tcW w:w="125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WGV-1500</w:t>
            </w:r>
          </w:p>
        </w:tc>
        <w:tc>
          <w:tcPr>
            <w:tcW w:w="9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8</w:t>
            </w:r>
            <w:r>
              <w:rPr>
                <w:rFonts w:hint="eastAsia" w:ascii="仿宋" w:hAnsi="仿宋" w:eastAsia="仿宋" w:cs="仿宋"/>
                <w:color w:val="auto"/>
                <w:sz w:val="24"/>
                <w:szCs w:val="24"/>
              </w:rPr>
              <w:t>00米</w:t>
            </w:r>
          </w:p>
        </w:tc>
        <w:tc>
          <w:tcPr>
            <w:tcW w:w="10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w:t>
            </w:r>
          </w:p>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华海</w:t>
            </w:r>
          </w:p>
        </w:tc>
        <w:tc>
          <w:tcPr>
            <w:tcW w:w="3417" w:type="dxa"/>
            <w:tcBorders>
              <w:tl2br w:val="nil"/>
              <w:tr2bl w:val="nil"/>
            </w:tcBorders>
            <w:noWrap w:val="0"/>
            <w:vAlign w:val="center"/>
          </w:tcPr>
          <w:p>
            <w:pPr>
              <w:spacing w:line="240" w:lineRule="auto"/>
              <w:rPr>
                <w:rFonts w:hint="eastAsia" w:ascii="仿宋" w:hAnsi="仿宋" w:eastAsia="仿宋" w:cs="仿宋"/>
                <w:color w:val="auto"/>
                <w:sz w:val="24"/>
                <w:szCs w:val="24"/>
                <w:lang w:eastAsia="zh-CN"/>
              </w:rPr>
            </w:pPr>
            <w:r>
              <w:rPr>
                <w:rFonts w:hint="eastAsia" w:ascii="仿宋" w:hAnsi="仿宋" w:eastAsia="仿宋" w:cs="仿宋"/>
                <w:color w:val="auto"/>
                <w:sz w:val="24"/>
                <w:szCs w:val="24"/>
              </w:rPr>
              <w:t>主要用于开阔水域,耐最大波高3m,耐最大风速20m/s,耐最大流速3Knot</w:t>
            </w:r>
            <w:r>
              <w:rPr>
                <w:rFonts w:hint="eastAsia" w:ascii="仿宋" w:hAnsi="仿宋" w:eastAsia="仿宋" w:cs="仿宋"/>
                <w:color w:val="auto"/>
                <w:sz w:val="24"/>
                <w:szCs w:val="24"/>
                <w:lang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1466"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非开阔水域围油栏</w:t>
            </w:r>
          </w:p>
        </w:tc>
        <w:tc>
          <w:tcPr>
            <w:tcW w:w="125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WGV-900</w:t>
            </w:r>
          </w:p>
        </w:tc>
        <w:tc>
          <w:tcPr>
            <w:tcW w:w="9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000米</w:t>
            </w:r>
          </w:p>
        </w:tc>
        <w:tc>
          <w:tcPr>
            <w:tcW w:w="10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w:t>
            </w:r>
          </w:p>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华海</w:t>
            </w:r>
          </w:p>
        </w:tc>
        <w:tc>
          <w:tcPr>
            <w:tcW w:w="3417" w:type="dxa"/>
            <w:tcBorders>
              <w:tl2br w:val="nil"/>
              <w:tr2bl w:val="nil"/>
            </w:tcBorders>
            <w:noWrap w:val="0"/>
            <w:vAlign w:val="center"/>
          </w:tcPr>
          <w:p>
            <w:pPr>
              <w:spacing w:line="240" w:lineRule="auto"/>
              <w:rPr>
                <w:rFonts w:hint="eastAsia" w:ascii="仿宋" w:hAnsi="仿宋" w:eastAsia="仿宋" w:cs="仿宋"/>
                <w:color w:val="auto"/>
                <w:sz w:val="24"/>
                <w:szCs w:val="24"/>
                <w:lang w:eastAsia="zh-CN"/>
              </w:rPr>
            </w:pPr>
            <w:r>
              <w:rPr>
                <w:rFonts w:hint="eastAsia" w:ascii="仿宋" w:hAnsi="仿宋" w:eastAsia="仿宋" w:cs="仿宋"/>
                <w:color w:val="auto"/>
                <w:sz w:val="24"/>
                <w:szCs w:val="24"/>
              </w:rPr>
              <w:t>主要用于非开阔水域,耐最大波高1.8m,耐最大风速15m/s,耐最大流速2Knot</w:t>
            </w:r>
            <w:r>
              <w:rPr>
                <w:rFonts w:hint="eastAsia" w:ascii="仿宋" w:hAnsi="仿宋" w:eastAsia="仿宋" w:cs="仿宋"/>
                <w:color w:val="auto"/>
                <w:sz w:val="24"/>
                <w:szCs w:val="24"/>
                <w:lang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3</w:t>
            </w:r>
          </w:p>
        </w:tc>
        <w:tc>
          <w:tcPr>
            <w:tcW w:w="1466"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岸线防护围油栏</w:t>
            </w:r>
          </w:p>
        </w:tc>
        <w:tc>
          <w:tcPr>
            <w:tcW w:w="125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WGV-600</w:t>
            </w:r>
          </w:p>
        </w:tc>
        <w:tc>
          <w:tcPr>
            <w:tcW w:w="9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1400</w:t>
            </w:r>
            <w:r>
              <w:rPr>
                <w:rFonts w:hint="eastAsia" w:ascii="仿宋" w:hAnsi="仿宋" w:eastAsia="仿宋" w:cs="仿宋"/>
                <w:color w:val="auto"/>
                <w:sz w:val="24"/>
                <w:szCs w:val="24"/>
              </w:rPr>
              <w:t>米</w:t>
            </w:r>
          </w:p>
        </w:tc>
        <w:tc>
          <w:tcPr>
            <w:tcW w:w="10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w:t>
            </w:r>
          </w:p>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华海</w:t>
            </w:r>
          </w:p>
        </w:tc>
        <w:tc>
          <w:tcPr>
            <w:tcW w:w="3417" w:type="dxa"/>
            <w:tcBorders>
              <w:tl2br w:val="nil"/>
              <w:tr2bl w:val="nil"/>
            </w:tcBorders>
            <w:noWrap w:val="0"/>
            <w:vAlign w:val="center"/>
          </w:tcPr>
          <w:p>
            <w:pPr>
              <w:spacing w:line="240" w:lineRule="auto"/>
              <w:rPr>
                <w:rFonts w:hint="eastAsia" w:ascii="仿宋" w:hAnsi="仿宋" w:eastAsia="仿宋" w:cs="仿宋"/>
                <w:color w:val="auto"/>
                <w:sz w:val="24"/>
                <w:szCs w:val="24"/>
                <w:lang w:eastAsia="zh-CN"/>
              </w:rPr>
            </w:pPr>
            <w:r>
              <w:rPr>
                <w:rFonts w:hint="eastAsia" w:ascii="仿宋" w:hAnsi="仿宋" w:eastAsia="仿宋" w:cs="仿宋"/>
                <w:color w:val="auto"/>
                <w:sz w:val="24"/>
                <w:szCs w:val="24"/>
              </w:rPr>
              <w:t>主要用于非开阔水域,耐最大波高0.5m,耐最大风速8m/s,耐最大流速1Knot</w:t>
            </w:r>
            <w:r>
              <w:rPr>
                <w:rFonts w:hint="eastAsia" w:ascii="仿宋" w:hAnsi="仿宋" w:eastAsia="仿宋" w:cs="仿宋"/>
                <w:color w:val="auto"/>
                <w:sz w:val="24"/>
                <w:szCs w:val="24"/>
                <w:lang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4</w:t>
            </w:r>
          </w:p>
        </w:tc>
        <w:tc>
          <w:tcPr>
            <w:tcW w:w="1466"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岸滩围油栏</w:t>
            </w:r>
          </w:p>
        </w:tc>
        <w:tc>
          <w:tcPr>
            <w:tcW w:w="125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WQV-600</w:t>
            </w:r>
          </w:p>
        </w:tc>
        <w:tc>
          <w:tcPr>
            <w:tcW w:w="9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600米</w:t>
            </w:r>
          </w:p>
        </w:tc>
        <w:tc>
          <w:tcPr>
            <w:tcW w:w="10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w:t>
            </w:r>
          </w:p>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华海</w:t>
            </w:r>
          </w:p>
        </w:tc>
        <w:tc>
          <w:tcPr>
            <w:tcW w:w="3417" w:type="dxa"/>
            <w:tcBorders>
              <w:tl2br w:val="nil"/>
              <w:tr2bl w:val="nil"/>
            </w:tcBorders>
            <w:noWrap w:val="0"/>
            <w:vAlign w:val="center"/>
          </w:tcPr>
          <w:p>
            <w:pPr>
              <w:spacing w:line="240" w:lineRule="auto"/>
              <w:rPr>
                <w:rFonts w:hint="eastAsia" w:ascii="仿宋" w:hAnsi="仿宋" w:eastAsia="仿宋" w:cs="仿宋"/>
                <w:color w:val="auto"/>
                <w:sz w:val="24"/>
                <w:szCs w:val="24"/>
                <w:lang w:eastAsia="zh-CN"/>
              </w:rPr>
            </w:pPr>
            <w:r>
              <w:rPr>
                <w:rFonts w:hint="eastAsia" w:ascii="仿宋" w:hAnsi="仿宋" w:eastAsia="仿宋" w:cs="仿宋"/>
                <w:color w:val="auto"/>
                <w:sz w:val="24"/>
                <w:szCs w:val="24"/>
              </w:rPr>
              <w:t>主要防止溢油在岸滩和陆地上外溢，可用于应急性布放。总抗拉强度30kn</w:t>
            </w:r>
            <w:r>
              <w:rPr>
                <w:rFonts w:hint="eastAsia" w:ascii="仿宋" w:hAnsi="仿宋" w:eastAsia="仿宋" w:cs="仿宋"/>
                <w:color w:val="auto"/>
                <w:sz w:val="24"/>
                <w:szCs w:val="24"/>
                <w:lang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5</w:t>
            </w:r>
          </w:p>
        </w:tc>
        <w:tc>
          <w:tcPr>
            <w:tcW w:w="1466"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充气式围油栏</w:t>
            </w:r>
          </w:p>
        </w:tc>
        <w:tc>
          <w:tcPr>
            <w:tcW w:w="125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WQJ1500</w:t>
            </w:r>
          </w:p>
        </w:tc>
        <w:tc>
          <w:tcPr>
            <w:tcW w:w="9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00米</w:t>
            </w:r>
          </w:p>
        </w:tc>
        <w:tc>
          <w:tcPr>
            <w:tcW w:w="10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青岛华海</w:t>
            </w:r>
          </w:p>
        </w:tc>
        <w:tc>
          <w:tcPr>
            <w:tcW w:w="3417" w:type="dxa"/>
            <w:tcBorders>
              <w:tl2br w:val="nil"/>
              <w:tr2bl w:val="nil"/>
            </w:tcBorders>
            <w:noWrap w:val="0"/>
            <w:vAlign w:val="center"/>
          </w:tcPr>
          <w:p>
            <w:pPr>
              <w:spacing w:line="240" w:lineRule="auto"/>
              <w:rPr>
                <w:rFonts w:hint="eastAsia" w:ascii="仿宋" w:hAnsi="仿宋" w:eastAsia="仿宋" w:cs="仿宋"/>
                <w:color w:val="auto"/>
                <w:sz w:val="24"/>
                <w:szCs w:val="24"/>
                <w:lang w:eastAsia="zh-CN"/>
              </w:rPr>
            </w:pPr>
            <w:r>
              <w:rPr>
                <w:rFonts w:hint="eastAsia" w:ascii="仿宋" w:hAnsi="仿宋" w:eastAsia="仿宋" w:cs="仿宋"/>
                <w:color w:val="auto"/>
                <w:sz w:val="24"/>
                <w:szCs w:val="24"/>
              </w:rPr>
              <w:t>适用于大型油码头及作业频繁需长期固定布栏的水域。抗风速20m/s，耐潮流3-4kn,耐波高3m</w:t>
            </w:r>
            <w:r>
              <w:rPr>
                <w:rFonts w:hint="eastAsia" w:ascii="仿宋" w:hAnsi="仿宋" w:eastAsia="仿宋" w:cs="仿宋"/>
                <w:color w:val="auto"/>
                <w:sz w:val="24"/>
                <w:szCs w:val="24"/>
                <w:lang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6</w:t>
            </w:r>
          </w:p>
        </w:tc>
        <w:tc>
          <w:tcPr>
            <w:tcW w:w="1466"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防火围油栏</w:t>
            </w:r>
          </w:p>
        </w:tc>
        <w:tc>
          <w:tcPr>
            <w:tcW w:w="125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WGJ900H</w:t>
            </w:r>
          </w:p>
        </w:tc>
        <w:tc>
          <w:tcPr>
            <w:tcW w:w="9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20</w:t>
            </w:r>
            <w:r>
              <w:rPr>
                <w:rFonts w:hint="eastAsia" w:ascii="仿宋" w:hAnsi="仿宋" w:eastAsia="仿宋" w:cs="仿宋"/>
                <w:color w:val="auto"/>
                <w:sz w:val="24"/>
                <w:szCs w:val="24"/>
              </w:rPr>
              <w:t>0米</w:t>
            </w:r>
          </w:p>
        </w:tc>
        <w:tc>
          <w:tcPr>
            <w:tcW w:w="108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青岛华海</w:t>
            </w:r>
          </w:p>
        </w:tc>
        <w:tc>
          <w:tcPr>
            <w:tcW w:w="3417"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适用于溢油燃烧处理，拦截防止水面溢油和流淌火，可抵挡已有燃烧的表面温度和应力，减小火灾.抗风速15m/s,抗流速2knot,抗波高1m。</w:t>
            </w:r>
          </w:p>
        </w:tc>
      </w:tr>
    </w:tbl>
    <w:p>
      <w:pPr>
        <w:pStyle w:val="26"/>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outlineLvl w:val="9"/>
        <w:rPr>
          <w:rFonts w:hint="eastAsia" w:ascii="仿宋" w:hAnsi="仿宋" w:eastAsia="仿宋" w:cs="仿宋"/>
          <w:color w:val="auto"/>
          <w:sz w:val="28"/>
          <w:szCs w:val="28"/>
          <w:lang w:val="en-US" w:eastAsia="zh-CN"/>
        </w:rPr>
      </w:pPr>
      <w:bookmarkStart w:id="66" w:name="_Toc24717"/>
    </w:p>
    <w:p>
      <w:pPr>
        <w:pStyle w:val="26"/>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.1.2</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各种环境对围油栏的性能要求</w:t>
      </w:r>
      <w:bookmarkEnd w:id="66"/>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在GB/T 34621-2017《围油栏》中，将使用围油栏的水域划分为平静水域、平静急流水域、遮蔽水域和开阔水域四种类型。平静水域是指波高在0～0.3m，水流速度在0.4m/s以下的水域。平静急流水域是指波高在0～0.3m，水流速度在0.4m/s或以上的水域。遮蔽水域是指波高在0～1m的水域。开阔水域是指波高在0～2m或2m以上的水域。由于水域环境不同，对围油栏的性能要求也不同，任何一种围油栏都不可能适用各种水域环境。不同水域环境对围油栏的性能要求见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-2。实际作业中，本公司将根据水域环境选择适当的围油栏。</w:t>
      </w:r>
    </w:p>
    <w:p>
      <w:pPr>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-2 不同水域对围油栏的性能要求</w:t>
      </w:r>
    </w:p>
    <w:tbl>
      <w:tblPr>
        <w:tblStyle w:val="13"/>
        <w:tblW w:w="484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73"/>
        <w:gridCol w:w="2128"/>
        <w:gridCol w:w="1769"/>
        <w:gridCol w:w="2038"/>
        <w:gridCol w:w="179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67" w:hRule="exact"/>
          <w:jc w:val="center"/>
        </w:trPr>
        <w:tc>
          <w:tcPr>
            <w:tcW w:w="1274" w:type="dxa"/>
            <w:tcBorders>
              <w:tl2br w:val="nil"/>
              <w:tr2bl w:val="nil"/>
            </w:tcBorders>
            <w:noWrap w:val="0"/>
            <w:vAlign w:val="center"/>
          </w:tcPr>
          <w:p>
            <w:pPr>
              <w:ind w:left="-90"/>
              <w:jc w:val="center"/>
              <w:rPr>
                <w:rFonts w:hint="eastAsia" w:ascii="仿宋" w:hAnsi="仿宋" w:eastAsia="仿宋" w:cs="仿宋"/>
                <w:b/>
                <w:color w:val="auto"/>
                <w:sz w:val="21"/>
                <w:szCs w:val="21"/>
              </w:rPr>
            </w:pPr>
          </w:p>
        </w:tc>
        <w:tc>
          <w:tcPr>
            <w:tcW w:w="2130" w:type="dxa"/>
            <w:tcBorders>
              <w:tl2br w:val="nil"/>
              <w:tr2bl w:val="nil"/>
            </w:tcBorders>
            <w:noWrap w:val="0"/>
            <w:vAlign w:val="center"/>
          </w:tcPr>
          <w:p>
            <w:pPr>
              <w:jc w:val="center"/>
              <w:rPr>
                <w:rFonts w:hint="eastAsia" w:ascii="仿宋" w:hAnsi="仿宋" w:eastAsia="仿宋" w:cs="仿宋"/>
                <w:b/>
                <w:color w:val="auto"/>
                <w:sz w:val="21"/>
                <w:szCs w:val="21"/>
              </w:rPr>
            </w:pPr>
            <w:r>
              <w:rPr>
                <w:rFonts w:hint="eastAsia" w:ascii="仿宋" w:hAnsi="仿宋" w:eastAsia="仿宋" w:cs="仿宋"/>
                <w:b/>
                <w:color w:val="auto"/>
                <w:sz w:val="21"/>
                <w:szCs w:val="21"/>
              </w:rPr>
              <w:t>小于0.3m波高的平静水面湖泊港湾</w:t>
            </w:r>
          </w:p>
        </w:tc>
        <w:tc>
          <w:tcPr>
            <w:tcW w:w="1770" w:type="dxa"/>
            <w:tcBorders>
              <w:tl2br w:val="nil"/>
              <w:tr2bl w:val="nil"/>
            </w:tcBorders>
            <w:noWrap w:val="0"/>
            <w:vAlign w:val="center"/>
          </w:tcPr>
          <w:p>
            <w:pPr>
              <w:ind w:left="-91"/>
              <w:jc w:val="center"/>
              <w:rPr>
                <w:rFonts w:hint="eastAsia" w:ascii="仿宋" w:hAnsi="仿宋" w:eastAsia="仿宋" w:cs="仿宋"/>
                <w:b/>
                <w:color w:val="auto"/>
                <w:sz w:val="21"/>
                <w:szCs w:val="21"/>
              </w:rPr>
            </w:pPr>
            <w:r>
              <w:rPr>
                <w:rFonts w:hint="eastAsia" w:ascii="仿宋" w:hAnsi="仿宋" w:eastAsia="仿宋" w:cs="仿宋"/>
                <w:b/>
                <w:color w:val="auto"/>
                <w:sz w:val="21"/>
                <w:szCs w:val="21"/>
              </w:rPr>
              <w:t>有潮流的</w:t>
            </w:r>
          </w:p>
          <w:p>
            <w:pPr>
              <w:ind w:left="-91"/>
              <w:jc w:val="center"/>
              <w:rPr>
                <w:rFonts w:hint="eastAsia" w:ascii="仿宋" w:hAnsi="仿宋" w:eastAsia="仿宋" w:cs="仿宋"/>
                <w:b/>
                <w:color w:val="auto"/>
                <w:sz w:val="21"/>
                <w:szCs w:val="21"/>
              </w:rPr>
            </w:pPr>
            <w:r>
              <w:rPr>
                <w:rFonts w:hint="eastAsia" w:ascii="仿宋" w:hAnsi="仿宋" w:eastAsia="仿宋" w:cs="仿宋"/>
                <w:b/>
                <w:color w:val="auto"/>
                <w:sz w:val="21"/>
                <w:szCs w:val="21"/>
              </w:rPr>
              <w:t>河流水面</w:t>
            </w:r>
          </w:p>
        </w:tc>
        <w:tc>
          <w:tcPr>
            <w:tcW w:w="2040" w:type="dxa"/>
            <w:tcBorders>
              <w:tl2br w:val="nil"/>
              <w:tr2bl w:val="nil"/>
            </w:tcBorders>
            <w:noWrap w:val="0"/>
            <w:vAlign w:val="center"/>
          </w:tcPr>
          <w:p>
            <w:pPr>
              <w:jc w:val="center"/>
              <w:rPr>
                <w:rFonts w:hint="eastAsia" w:ascii="仿宋" w:hAnsi="仿宋" w:eastAsia="仿宋" w:cs="仿宋"/>
                <w:b/>
                <w:color w:val="auto"/>
                <w:sz w:val="21"/>
                <w:szCs w:val="21"/>
              </w:rPr>
            </w:pPr>
            <w:r>
              <w:rPr>
                <w:rFonts w:hint="eastAsia" w:ascii="仿宋" w:hAnsi="仿宋" w:eastAsia="仿宋" w:cs="仿宋"/>
                <w:b/>
                <w:color w:val="auto"/>
                <w:sz w:val="21"/>
                <w:szCs w:val="21"/>
              </w:rPr>
              <w:t>波高小于1.5m的</w:t>
            </w:r>
          </w:p>
          <w:p>
            <w:pPr>
              <w:jc w:val="center"/>
              <w:rPr>
                <w:rFonts w:hint="eastAsia" w:ascii="仿宋" w:hAnsi="仿宋" w:eastAsia="仿宋" w:cs="仿宋"/>
                <w:b/>
                <w:color w:val="auto"/>
                <w:sz w:val="21"/>
                <w:szCs w:val="21"/>
              </w:rPr>
            </w:pPr>
            <w:r>
              <w:rPr>
                <w:rFonts w:hint="eastAsia" w:ascii="仿宋" w:hAnsi="仿宋" w:eastAsia="仿宋" w:cs="仿宋"/>
                <w:b/>
                <w:color w:val="auto"/>
                <w:sz w:val="21"/>
                <w:szCs w:val="21"/>
              </w:rPr>
              <w:t>遮蔽水域近岸水域</w:t>
            </w:r>
          </w:p>
        </w:tc>
        <w:tc>
          <w:tcPr>
            <w:tcW w:w="1797" w:type="dxa"/>
            <w:tcBorders>
              <w:tl2br w:val="nil"/>
              <w:tr2bl w:val="nil"/>
            </w:tcBorders>
            <w:noWrap w:val="0"/>
            <w:vAlign w:val="center"/>
          </w:tcPr>
          <w:p>
            <w:pPr>
              <w:jc w:val="center"/>
              <w:rPr>
                <w:rFonts w:hint="eastAsia" w:ascii="仿宋" w:hAnsi="仿宋" w:eastAsia="仿宋" w:cs="仿宋"/>
                <w:b/>
                <w:color w:val="auto"/>
                <w:sz w:val="21"/>
                <w:szCs w:val="21"/>
              </w:rPr>
            </w:pPr>
            <w:r>
              <w:rPr>
                <w:rFonts w:hint="eastAsia" w:ascii="仿宋" w:hAnsi="仿宋" w:eastAsia="仿宋" w:cs="仿宋"/>
                <w:b/>
                <w:color w:val="auto"/>
                <w:sz w:val="21"/>
                <w:szCs w:val="21"/>
              </w:rPr>
              <w:t>波高大于1.0m的</w:t>
            </w:r>
          </w:p>
          <w:p>
            <w:pPr>
              <w:jc w:val="center"/>
              <w:rPr>
                <w:rFonts w:hint="eastAsia" w:ascii="仿宋" w:hAnsi="仿宋" w:eastAsia="仿宋" w:cs="仿宋"/>
                <w:b/>
                <w:color w:val="auto"/>
                <w:sz w:val="21"/>
                <w:szCs w:val="21"/>
              </w:rPr>
            </w:pPr>
            <w:r>
              <w:rPr>
                <w:rFonts w:hint="eastAsia" w:ascii="仿宋" w:hAnsi="仿宋" w:eastAsia="仿宋" w:cs="仿宋"/>
                <w:b/>
                <w:color w:val="auto"/>
                <w:sz w:val="21"/>
                <w:szCs w:val="21"/>
              </w:rPr>
              <w:t>开阔水域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7" w:hRule="exact"/>
          <w:jc w:val="center"/>
        </w:trPr>
        <w:tc>
          <w:tcPr>
            <w:tcW w:w="1274"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干舷</w:t>
            </w:r>
          </w:p>
        </w:tc>
        <w:tc>
          <w:tcPr>
            <w:tcW w:w="213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0.2～0.5 m</w:t>
            </w:r>
          </w:p>
        </w:tc>
        <w:tc>
          <w:tcPr>
            <w:tcW w:w="177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0.3～0.5 m</w:t>
            </w:r>
          </w:p>
        </w:tc>
        <w:tc>
          <w:tcPr>
            <w:tcW w:w="204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0.4～0.6 m</w:t>
            </w:r>
          </w:p>
        </w:tc>
        <w:tc>
          <w:tcPr>
            <w:tcW w:w="1797"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0.5～1.O m</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7" w:hRule="exact"/>
          <w:jc w:val="center"/>
        </w:trPr>
        <w:tc>
          <w:tcPr>
            <w:tcW w:w="1274"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吃水</w:t>
            </w:r>
          </w:p>
        </w:tc>
        <w:tc>
          <w:tcPr>
            <w:tcW w:w="213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0.2～0.5 m</w:t>
            </w:r>
          </w:p>
        </w:tc>
        <w:tc>
          <w:tcPr>
            <w:tcW w:w="177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0.3～0.7 m</w:t>
            </w:r>
          </w:p>
        </w:tc>
        <w:tc>
          <w:tcPr>
            <w:tcW w:w="204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0.4～0.8 m</w:t>
            </w:r>
          </w:p>
        </w:tc>
        <w:tc>
          <w:tcPr>
            <w:tcW w:w="1797"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0.6～1.5 m</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07" w:hRule="exact"/>
          <w:jc w:val="center"/>
        </w:trPr>
        <w:tc>
          <w:tcPr>
            <w:tcW w:w="1274"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浮力重量比</w:t>
            </w:r>
          </w:p>
        </w:tc>
        <w:tc>
          <w:tcPr>
            <w:tcW w:w="213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3：1～10：1</w:t>
            </w:r>
          </w:p>
        </w:tc>
        <w:tc>
          <w:tcPr>
            <w:tcW w:w="177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3：1～10：1</w:t>
            </w:r>
          </w:p>
        </w:tc>
        <w:tc>
          <w:tcPr>
            <w:tcW w:w="204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5：1～12：1</w:t>
            </w:r>
          </w:p>
        </w:tc>
        <w:tc>
          <w:tcPr>
            <w:tcW w:w="1797" w:type="dxa"/>
            <w:tcBorders>
              <w:tl2br w:val="nil"/>
              <w:tr2bl w:val="nil"/>
            </w:tcBorders>
            <w:noWrap w:val="0"/>
            <w:vAlign w:val="center"/>
          </w:tcPr>
          <w:p>
            <w:pPr>
              <w:ind w:firstLine="105" w:firstLineChars="50"/>
              <w:jc w:val="center"/>
              <w:rPr>
                <w:rFonts w:hint="eastAsia" w:ascii="仿宋" w:hAnsi="仿宋" w:eastAsia="仿宋" w:cs="仿宋"/>
                <w:color w:val="auto"/>
                <w:sz w:val="21"/>
                <w:szCs w:val="21"/>
              </w:rPr>
            </w:pPr>
            <w:r>
              <w:rPr>
                <w:rFonts w:hint="eastAsia" w:ascii="仿宋" w:hAnsi="仿宋" w:eastAsia="仿宋" w:cs="仿宋"/>
                <w:color w:val="auto"/>
                <w:sz w:val="21"/>
                <w:szCs w:val="21"/>
              </w:rPr>
              <w:t>8：1～15：1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7" w:hRule="exact"/>
          <w:jc w:val="center"/>
        </w:trPr>
        <w:tc>
          <w:tcPr>
            <w:tcW w:w="1274"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总张力强度</w:t>
            </w:r>
          </w:p>
        </w:tc>
        <w:tc>
          <w:tcPr>
            <w:tcW w:w="213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不小于10 kn</w:t>
            </w:r>
          </w:p>
        </w:tc>
        <w:tc>
          <w:tcPr>
            <w:tcW w:w="177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不小于30 kn</w:t>
            </w:r>
          </w:p>
        </w:tc>
        <w:tc>
          <w:tcPr>
            <w:tcW w:w="2040"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不小于50 kn</w:t>
            </w:r>
          </w:p>
        </w:tc>
        <w:tc>
          <w:tcPr>
            <w:tcW w:w="1797" w:type="dxa"/>
            <w:tcBorders>
              <w:tl2br w:val="nil"/>
              <w:tr2bl w:val="nil"/>
            </w:tcBorders>
            <w:noWrap w:val="0"/>
            <w:vAlign w:val="center"/>
          </w:tcPr>
          <w:p>
            <w:pPr>
              <w:ind w:left="-90"/>
              <w:jc w:val="center"/>
              <w:rPr>
                <w:rFonts w:hint="eastAsia" w:ascii="仿宋" w:hAnsi="仿宋" w:eastAsia="仿宋" w:cs="仿宋"/>
                <w:color w:val="auto"/>
                <w:sz w:val="21"/>
                <w:szCs w:val="21"/>
              </w:rPr>
            </w:pPr>
            <w:r>
              <w:rPr>
                <w:rFonts w:hint="eastAsia" w:ascii="仿宋" w:hAnsi="仿宋" w:eastAsia="仿宋" w:cs="仿宋"/>
                <w:color w:val="auto"/>
                <w:sz w:val="21"/>
                <w:szCs w:val="21"/>
              </w:rPr>
              <w:t>不小于150 kn</w:t>
            </w:r>
          </w:p>
        </w:tc>
      </w:tr>
    </w:tbl>
    <w:p>
      <w:pPr>
        <w:pStyle w:val="26"/>
        <w:keepLines w:val="0"/>
        <w:pageBreakBefore w:val="0"/>
        <w:kinsoku/>
        <w:wordWrap/>
        <w:overflowPunct/>
        <w:topLinePunct w:val="0"/>
        <w:autoSpaceDE/>
        <w:autoSpaceDN/>
        <w:bidi w:val="0"/>
        <w:adjustRightInd/>
        <w:snapToGrid/>
        <w:spacing w:before="0" w:after="0" w:line="500" w:lineRule="exact"/>
        <w:textAlignment w:val="auto"/>
        <w:outlineLvl w:val="9"/>
        <w:rPr>
          <w:rFonts w:hint="eastAsia" w:ascii="仿宋" w:hAnsi="仿宋" w:eastAsia="仿宋" w:cs="仿宋"/>
          <w:color w:val="auto"/>
          <w:sz w:val="28"/>
          <w:szCs w:val="28"/>
        </w:rPr>
      </w:pPr>
      <w:bookmarkStart w:id="67" w:name="_Toc513"/>
    </w:p>
    <w:p>
      <w:pPr>
        <w:pStyle w:val="26"/>
        <w:keepLines w:val="0"/>
        <w:pageBreakBefore w:val="0"/>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.1.3</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选用围油栏的一般原则</w:t>
      </w:r>
      <w:bookmarkEnd w:id="67"/>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围油栏的选用，首先考虑水域环境对围油栏的性能要求和围油栏的基本性能参数，然后考虑现场环境和围油栏的操作性能。</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（1）水域环境有下列几种情况：</w:t>
      </w:r>
    </w:p>
    <w:p>
      <w:pPr>
        <w:keepLines w:val="0"/>
        <w:pageBreakBefore w:val="0"/>
        <w:widowControl w:val="0"/>
        <w:numPr>
          <w:ilvl w:val="3"/>
          <w:numId w:val="3"/>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浪高为0.3m的平静水面（湖泊、港口等）</w:t>
      </w:r>
    </w:p>
    <w:p>
      <w:pPr>
        <w:keepLines w:val="0"/>
        <w:pageBreakBefore w:val="0"/>
        <w:widowControl w:val="0"/>
        <w:numPr>
          <w:ilvl w:val="3"/>
          <w:numId w:val="3"/>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有水流的平静水面（江、河等）</w:t>
      </w:r>
    </w:p>
    <w:p>
      <w:pPr>
        <w:keepLines w:val="0"/>
        <w:pageBreakBefore w:val="0"/>
        <w:widowControl w:val="0"/>
        <w:numPr>
          <w:ilvl w:val="3"/>
          <w:numId w:val="3"/>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波浪高于1.0m的遮蔽水域</w:t>
      </w:r>
    </w:p>
    <w:p>
      <w:pPr>
        <w:keepLines w:val="0"/>
        <w:pageBreakBefore w:val="0"/>
        <w:widowControl w:val="0"/>
        <w:numPr>
          <w:ilvl w:val="3"/>
          <w:numId w:val="3"/>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波浪高于1.0m的开阔水域</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（2）围油栏的性能参数包括：</w:t>
      </w:r>
    </w:p>
    <w:p>
      <w:pPr>
        <w:keepLines w:val="0"/>
        <w:pageBreakBefore w:val="0"/>
        <w:widowControl w:val="0"/>
        <w:numPr>
          <w:ilvl w:val="3"/>
          <w:numId w:val="3"/>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干舷</w:t>
      </w:r>
    </w:p>
    <w:p>
      <w:pPr>
        <w:keepLines w:val="0"/>
        <w:pageBreakBefore w:val="0"/>
        <w:widowControl w:val="0"/>
        <w:numPr>
          <w:ilvl w:val="3"/>
          <w:numId w:val="3"/>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吃水</w:t>
      </w:r>
    </w:p>
    <w:p>
      <w:pPr>
        <w:keepLines w:val="0"/>
        <w:pageBreakBefore w:val="0"/>
        <w:widowControl w:val="0"/>
        <w:numPr>
          <w:ilvl w:val="3"/>
          <w:numId w:val="3"/>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浮重比</w:t>
      </w:r>
    </w:p>
    <w:p>
      <w:pPr>
        <w:keepLines w:val="0"/>
        <w:pageBreakBefore w:val="0"/>
        <w:widowControl w:val="0"/>
        <w:numPr>
          <w:ilvl w:val="3"/>
          <w:numId w:val="3"/>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总拉力强度</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（3）围油栏的操作性能包括：</w:t>
      </w:r>
    </w:p>
    <w:p>
      <w:pPr>
        <w:keepLines w:val="0"/>
        <w:pageBreakBefore w:val="0"/>
        <w:widowControl w:val="0"/>
        <w:numPr>
          <w:ilvl w:val="3"/>
          <w:numId w:val="3"/>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围油栏的耐用性</w:t>
      </w:r>
    </w:p>
    <w:p>
      <w:pPr>
        <w:keepLines w:val="0"/>
        <w:pageBreakBefore w:val="0"/>
        <w:widowControl w:val="0"/>
        <w:numPr>
          <w:ilvl w:val="3"/>
          <w:numId w:val="3"/>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易布放</w:t>
      </w:r>
    </w:p>
    <w:p>
      <w:pPr>
        <w:keepLines w:val="0"/>
        <w:pageBreakBefore w:val="0"/>
        <w:widowControl w:val="0"/>
        <w:numPr>
          <w:ilvl w:val="3"/>
          <w:numId w:val="3"/>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具有良好的随波性</w:t>
      </w:r>
    </w:p>
    <w:p>
      <w:pPr>
        <w:keepLines w:val="0"/>
        <w:pageBreakBefore w:val="0"/>
        <w:widowControl w:val="0"/>
        <w:numPr>
          <w:ilvl w:val="3"/>
          <w:numId w:val="3"/>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布放速度快</w:t>
      </w:r>
    </w:p>
    <w:p>
      <w:pPr>
        <w:keepLines w:val="0"/>
        <w:pageBreakBefore w:val="0"/>
        <w:widowControl w:val="0"/>
        <w:numPr>
          <w:ilvl w:val="3"/>
          <w:numId w:val="3"/>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较好的岸线密封性</w:t>
      </w:r>
    </w:p>
    <w:p>
      <w:pPr>
        <w:keepLines w:val="0"/>
        <w:pageBreakBefore w:val="0"/>
        <w:widowControl w:val="0"/>
        <w:numPr>
          <w:ilvl w:val="3"/>
          <w:numId w:val="3"/>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容易维护保养</w:t>
      </w:r>
    </w:p>
    <w:p>
      <w:pPr>
        <w:keepLines w:val="0"/>
        <w:pageBreakBefore w:val="0"/>
        <w:widowControl w:val="0"/>
        <w:numPr>
          <w:ilvl w:val="3"/>
          <w:numId w:val="3"/>
        </w:numPr>
        <w:tabs>
          <w:tab w:val="left" w:pos="1134"/>
          <w:tab w:val="clear" w:pos="1620"/>
        </w:tabs>
        <w:kinsoku/>
        <w:wordWrap/>
        <w:overflowPunct/>
        <w:topLinePunct w:val="0"/>
        <w:autoSpaceDE/>
        <w:autoSpaceDN/>
        <w:bidi w:val="0"/>
        <w:adjustRightInd/>
        <w:snapToGrid/>
        <w:spacing w:line="360" w:lineRule="auto"/>
        <w:ind w:left="1134" w:hanging="425"/>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便于储存以及适用性</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在考虑上述因素的同时，根据布放的目的，按照围控、导流、保护目的来选用围油栏。本公司围油栏总体可分为固体浮子型和充气型，围油栏选用可参考表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-3。</w:t>
      </w:r>
    </w:p>
    <w:p>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-3 围油栏选用指南</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99"/>
        <w:gridCol w:w="3119"/>
        <w:gridCol w:w="2060"/>
        <w:gridCol w:w="243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4658" w:type="dxa"/>
            <w:gridSpan w:val="2"/>
            <w:vMerge w:val="restart"/>
            <w:tcBorders>
              <w:tl2br w:val="nil"/>
              <w:tr2bl w:val="nil"/>
            </w:tcBorders>
            <w:noWrap w:val="0"/>
            <w:vAlign w:val="center"/>
          </w:tcPr>
          <w:p>
            <w:pPr>
              <w:spacing w:line="240" w:lineRule="auto"/>
              <w:ind w:left="-2"/>
              <w:rPr>
                <w:rFonts w:hint="eastAsia" w:ascii="仿宋" w:hAnsi="仿宋" w:eastAsia="仿宋" w:cs="仿宋"/>
                <w:b/>
                <w:color w:val="auto"/>
                <w:sz w:val="24"/>
                <w:szCs w:val="24"/>
              </w:rPr>
            </w:pPr>
            <w:r>
              <w:rPr>
                <w:rFonts w:hint="eastAsia" w:ascii="仿宋" w:hAnsi="仿宋" w:eastAsia="仿宋" w:cs="仿宋"/>
                <w:b/>
                <w:color w:val="auto"/>
                <w:sz w:val="24"/>
                <w:szCs w:val="24"/>
              </w:rPr>
              <w:t>符号说明：1、好；2、中等；3、差</w:t>
            </w:r>
          </w:p>
        </w:tc>
        <w:tc>
          <w:tcPr>
            <w:tcW w:w="4628" w:type="dxa"/>
            <w:gridSpan w:val="2"/>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围油栏型号</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4658" w:type="dxa"/>
            <w:gridSpan w:val="2"/>
            <w:vMerge w:val="continue"/>
            <w:tcBorders>
              <w:tl2br w:val="nil"/>
              <w:tr2bl w:val="nil"/>
            </w:tcBorders>
            <w:noWrap w:val="0"/>
            <w:vAlign w:val="center"/>
          </w:tcPr>
          <w:p>
            <w:pPr>
              <w:spacing w:line="240" w:lineRule="auto"/>
              <w:ind w:left="-95" w:leftChars="-43" w:firstLine="843" w:firstLineChars="350"/>
              <w:rPr>
                <w:rFonts w:hint="eastAsia" w:ascii="仿宋" w:hAnsi="仿宋" w:eastAsia="仿宋" w:cs="仿宋"/>
                <w:b/>
                <w:color w:val="auto"/>
                <w:sz w:val="24"/>
                <w:szCs w:val="24"/>
              </w:rPr>
            </w:pPr>
          </w:p>
        </w:tc>
        <w:tc>
          <w:tcPr>
            <w:tcW w:w="2123" w:type="dxa"/>
            <w:tcBorders>
              <w:tl2br w:val="nil"/>
              <w:tr2bl w:val="nil"/>
            </w:tcBorders>
            <w:noWrap w:val="0"/>
            <w:vAlign w:val="center"/>
          </w:tcPr>
          <w:p>
            <w:pPr>
              <w:spacing w:line="240" w:lineRule="auto"/>
              <w:ind w:left="-9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固体浮子型</w:t>
            </w:r>
          </w:p>
        </w:tc>
        <w:tc>
          <w:tcPr>
            <w:tcW w:w="2505" w:type="dxa"/>
            <w:tcBorders>
              <w:tl2br w:val="nil"/>
              <w:tr2bl w:val="nil"/>
            </w:tcBorders>
            <w:noWrap w:val="0"/>
            <w:vAlign w:val="center"/>
          </w:tcPr>
          <w:p>
            <w:pPr>
              <w:spacing w:line="240" w:lineRule="auto"/>
              <w:ind w:firstLine="120" w:firstLineChars="5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充气型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restart"/>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环境</w:t>
            </w:r>
          </w:p>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状况</w:t>
            </w: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近海、Hs&gt;3ft、V&lt;lkn</w:t>
            </w:r>
          </w:p>
        </w:tc>
        <w:tc>
          <w:tcPr>
            <w:tcW w:w="212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250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港口、Hs&gt;3ft、V&lt;lkn</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平静水、Hs&gt;3ft、V&lt;0.5kn</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高流速、V&gt;lkn</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浅水水深&lt;1m</w:t>
            </w:r>
          </w:p>
        </w:tc>
        <w:tc>
          <w:tcPr>
            <w:tcW w:w="212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restart"/>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性能</w:t>
            </w:r>
          </w:p>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特征</w:t>
            </w: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在有粗糙物体情况下使用</w:t>
            </w:r>
          </w:p>
        </w:tc>
        <w:tc>
          <w:tcPr>
            <w:tcW w:w="212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250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富余浮力</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随波性</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强度</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l</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restart"/>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操作</w:t>
            </w:r>
          </w:p>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特性</w:t>
            </w: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易搬运</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易清洗</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97" w:hRule="exact"/>
          <w:jc w:val="center"/>
        </w:trPr>
        <w:tc>
          <w:tcPr>
            <w:tcW w:w="1439" w:type="dxa"/>
            <w:vMerge w:val="continue"/>
            <w:tcBorders>
              <w:tl2br w:val="nil"/>
              <w:tr2bl w:val="nil"/>
            </w:tcBorders>
            <w:noWrap w:val="0"/>
            <w:vAlign w:val="center"/>
          </w:tcPr>
          <w:p>
            <w:pPr>
              <w:spacing w:line="240" w:lineRule="auto"/>
              <w:ind w:left="-90"/>
              <w:rPr>
                <w:rFonts w:hint="eastAsia" w:ascii="仿宋" w:hAnsi="仿宋" w:eastAsia="仿宋" w:cs="仿宋"/>
                <w:color w:val="auto"/>
                <w:sz w:val="24"/>
                <w:szCs w:val="24"/>
              </w:rPr>
            </w:pPr>
          </w:p>
        </w:tc>
        <w:tc>
          <w:tcPr>
            <w:tcW w:w="321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可压缩性</w:t>
            </w:r>
          </w:p>
        </w:tc>
        <w:tc>
          <w:tcPr>
            <w:tcW w:w="2123"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3</w:t>
            </w:r>
          </w:p>
        </w:tc>
        <w:tc>
          <w:tcPr>
            <w:tcW w:w="2505" w:type="dxa"/>
            <w:tcBorders>
              <w:tl2br w:val="nil"/>
              <w:tr2bl w:val="nil"/>
            </w:tcBorders>
            <w:noWrap w:val="0"/>
            <w:vAlign w:val="center"/>
          </w:tcPr>
          <w:p>
            <w:pPr>
              <w:spacing w:line="240" w:lineRule="auto"/>
              <w:ind w:left="-90"/>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r>
    </w:tbl>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textAlignment w:val="auto"/>
        <w:rPr>
          <w:rFonts w:hint="eastAsia" w:ascii="仿宋" w:hAnsi="仿宋" w:eastAsia="仿宋" w:cs="仿宋"/>
          <w:color w:val="auto"/>
          <w:sz w:val="28"/>
          <w:szCs w:val="28"/>
        </w:rPr>
      </w:pPr>
    </w:p>
    <w:p>
      <w:pPr>
        <w:pStyle w:val="26"/>
        <w:keepLines w:val="0"/>
        <w:pageBreakBefore w:val="0"/>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bookmarkStart w:id="68" w:name="_Toc9867"/>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.1.4</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围油栏的选用</w:t>
      </w:r>
      <w:bookmarkEnd w:id="68"/>
    </w:p>
    <w:p>
      <w:pPr>
        <w:pStyle w:val="26"/>
        <w:keepLines w:val="0"/>
        <w:pageBreakBefore w:val="0"/>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（1）开阔水域围油栏的选用</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在开阔水域选择围油栏，应主要考虑下列因素：</w:t>
      </w:r>
    </w:p>
    <w:p>
      <w:pPr>
        <w:keepLines w:val="0"/>
        <w:pageBreakBefore w:val="0"/>
        <w:widowControl w:val="0"/>
        <w:numPr>
          <w:ilvl w:val="0"/>
          <w:numId w:val="0"/>
        </w:numPr>
        <w:tabs>
          <w:tab w:val="left" w:pos="1134"/>
        </w:tabs>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rPr>
        <w:t>◆围油栏的强度：所选择围油栏强度应能够承受波浪和潮流产生的作用力</w:t>
      </w:r>
      <w:r>
        <w:rPr>
          <w:rFonts w:hint="eastAsia" w:ascii="仿宋" w:hAnsi="仿宋" w:eastAsia="仿宋" w:cs="仿宋"/>
          <w:color w:val="auto"/>
          <w:sz w:val="28"/>
          <w:szCs w:val="28"/>
          <w:lang w:eastAsia="zh-CN"/>
        </w:rPr>
        <w:t>。</w:t>
      </w:r>
    </w:p>
    <w:p>
      <w:pPr>
        <w:keepLines w:val="0"/>
        <w:pageBreakBefore w:val="0"/>
        <w:widowControl w:val="0"/>
        <w:numPr>
          <w:ilvl w:val="0"/>
          <w:numId w:val="0"/>
        </w:numPr>
        <w:tabs>
          <w:tab w:val="left" w:pos="1134"/>
        </w:tabs>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rPr>
        <w:t>◆容易布放：所选择的围油栏应能够非常方便地从船舶上布放到水面，并形成理想的形状</w:t>
      </w:r>
      <w:r>
        <w:rPr>
          <w:rFonts w:hint="eastAsia" w:ascii="仿宋" w:hAnsi="仿宋" w:eastAsia="仿宋" w:cs="仿宋"/>
          <w:color w:val="auto"/>
          <w:sz w:val="28"/>
          <w:szCs w:val="28"/>
          <w:lang w:eastAsia="zh-CN"/>
        </w:rPr>
        <w:t>。</w:t>
      </w:r>
    </w:p>
    <w:p>
      <w:pPr>
        <w:keepLines w:val="0"/>
        <w:pageBreakBefore w:val="0"/>
        <w:widowControl w:val="0"/>
        <w:numPr>
          <w:ilvl w:val="0"/>
          <w:numId w:val="0"/>
        </w:numPr>
        <w:tabs>
          <w:tab w:val="left" w:pos="1134"/>
        </w:tabs>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◆存储空间：在发生溢油时，经常使用船舶将围油栏运到溢油现场进行布放，应考虑船舶甲板是否具有足够的空间。</w:t>
      </w:r>
    </w:p>
    <w:p>
      <w:pPr>
        <w:keepLines w:val="0"/>
        <w:pageBreakBefore w:val="0"/>
        <w:widowControl w:val="0"/>
        <w:numPr>
          <w:ilvl w:val="0"/>
          <w:numId w:val="0"/>
        </w:numPr>
        <w:tabs>
          <w:tab w:val="left" w:pos="1134"/>
        </w:tabs>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◆浮重比：经验表明，浮重比应在8：1以上。</w:t>
      </w:r>
    </w:p>
    <w:p>
      <w:pPr>
        <w:keepLines w:val="0"/>
        <w:pageBreakBefore w:val="0"/>
        <w:widowControl w:val="0"/>
        <w:numPr>
          <w:ilvl w:val="0"/>
          <w:numId w:val="0"/>
        </w:numPr>
        <w:tabs>
          <w:tab w:val="left" w:pos="1134"/>
        </w:tabs>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◆干舷和吃水：干舷和吃水的尺寸应由使用水域的波高和潮流情况而定。</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根据上述因素，在开阔水域，本公司选用充气式帘式围油栏。</w:t>
      </w:r>
    </w:p>
    <w:p>
      <w:pPr>
        <w:keepLines w:val="0"/>
        <w:pageBreakBefore w:val="0"/>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（2）近岸水域围油栏的选用</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在近岸水域布放围油栏的目的一般是为了导流溢油，需要广泛或永久的布放。选用固体浮子式围油栏或充气式围油栏。</w:t>
      </w:r>
    </w:p>
    <w:p>
      <w:pPr>
        <w:keepLines w:val="0"/>
        <w:pageBreakBefore w:val="0"/>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（3）码头水域围油栏的选用</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用于保护码头水域的围油栏，首先要考虑的是容易快速布放。充气式围油栏适用于这一用途。如果码头水域流急，则应选择固体浮子式围油栏。如果在波浪大的泊位布放固定式或半固定式围油栏，应选择强度大和浮重比高的围油栏。</w:t>
      </w:r>
    </w:p>
    <w:p>
      <w:pPr>
        <w:pStyle w:val="26"/>
        <w:keepLines w:val="0"/>
        <w:pageBreakBefore w:val="0"/>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bookmarkStart w:id="69" w:name="_Toc9840"/>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.1.5</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围油栏的布放形式</w:t>
      </w:r>
      <w:bookmarkEnd w:id="69"/>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围油栏对溢油的围控、导流和防范作用，要通过适当的布放形式来实现。按照不同的水域类型，围油栏的布放形式分为三种情况，即开阔水域的布放形式和近岸、河流的布放形式。</w:t>
      </w:r>
    </w:p>
    <w:p>
      <w:pPr>
        <w:keepLines w:val="0"/>
        <w:pageBreakBefore w:val="0"/>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lang w:val="en-US" w:eastAsia="zh-CN"/>
        </w:rPr>
        <w:t xml:space="preserve">6.1.5.1 </w:t>
      </w:r>
      <w:r>
        <w:rPr>
          <w:rFonts w:hint="eastAsia" w:ascii="仿宋" w:hAnsi="仿宋" w:eastAsia="仿宋" w:cs="仿宋"/>
          <w:b/>
          <w:color w:val="auto"/>
          <w:sz w:val="28"/>
          <w:szCs w:val="28"/>
        </w:rPr>
        <w:t>开阔水域围油栏的布放形式</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在开阔水域布放围油栏，其形式主要取决于布放围油栏的目的和参与布放围油栏的船舶数量。本公司围控布放形式有两船布放和三船布放。</w:t>
      </w:r>
    </w:p>
    <w:p>
      <w:pPr>
        <w:keepLines w:val="0"/>
        <w:pageBreakBefore w:val="0"/>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lang w:eastAsia="zh-CN"/>
        </w:rPr>
        <w:t>（</w:t>
      </w:r>
      <w:r>
        <w:rPr>
          <w:rFonts w:hint="eastAsia" w:ascii="仿宋" w:hAnsi="仿宋" w:eastAsia="仿宋" w:cs="仿宋"/>
          <w:b/>
          <w:color w:val="auto"/>
          <w:sz w:val="28"/>
          <w:szCs w:val="28"/>
        </w:rPr>
        <w:t>1）两船布放式</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rPr>
        <w:t>两船布放围油栏通常以J形布放，也称作J形拖带</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见图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rPr>
        <w:t>。</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2705100" cy="1249680"/>
            <wp:effectExtent l="0" t="0" r="0" b="7620"/>
            <wp:docPr id="11" name="图片 11" descr="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片8"/>
                    <pic:cNvPicPr>
                      <a:picLocks noChangeAspect="1"/>
                    </pic:cNvPicPr>
                  </pic:nvPicPr>
                  <pic:blipFill>
                    <a:blip r:embed="rId16"/>
                    <a:stretch>
                      <a:fillRect/>
                    </a:stretch>
                  </pic:blipFill>
                  <pic:spPr>
                    <a:xfrm>
                      <a:off x="0" y="0"/>
                      <a:ext cx="2705100" cy="124968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1</w:t>
      </w:r>
      <w:r>
        <w:rPr>
          <w:rFonts w:hint="eastAsia" w:ascii="仿宋" w:hAnsi="仿宋" w:eastAsia="仿宋" w:cs="仿宋"/>
          <w:b/>
          <w:color w:val="auto"/>
          <w:sz w:val="24"/>
          <w:szCs w:val="24"/>
        </w:rPr>
        <w:t xml:space="preserve"> 两船J形布放围油栏</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J形布放形式需要两艘船，一艘作为主拖船，用于存放围油栏和回收设备；一艘作为拖船，拖带围油栏：围油栏的长度需要200-400 m。从主拖船至J形底部之间围油栏的长度为20-40 m，收油机放置在J形底部。围油栏要紧靠在主拖船的一侧（10-20 m），便于操作收油机。</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为了获得并保持理想的围油栏底部形状，经常采用绳子连接在围油栏和船舶之间，并可以通过绳子调整围油栏的形状。</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两船布放形式用于溢油导向作用时，围油栏的长度一般为100-400 m。如果围油栏过长，辅助船舶难以保持理想的位置，作业效能就会下降。</w:t>
      </w:r>
    </w:p>
    <w:p>
      <w:pPr>
        <w:keepNext w:val="0"/>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lang w:val="en-US" w:eastAsia="zh-CN"/>
        </w:rPr>
        <w:t>（2</w:t>
      </w:r>
      <w:r>
        <w:rPr>
          <w:rFonts w:hint="eastAsia" w:ascii="仿宋" w:hAnsi="仿宋" w:eastAsia="仿宋" w:cs="仿宋"/>
          <w:b/>
          <w:color w:val="auto"/>
          <w:sz w:val="28"/>
          <w:szCs w:val="28"/>
        </w:rPr>
        <w:t>）三船布放形式</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rPr>
        <w:t>使用三艘船舶进行布放，围控形状通常为U形（见图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rPr>
        <w:t>）或开口U形围控（见图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w:t>
      </w:r>
      <w:r>
        <w:rPr>
          <w:rFonts w:hint="eastAsia" w:ascii="仿宋" w:hAnsi="仿宋" w:eastAsia="仿宋" w:cs="仿宋"/>
          <w:color w:val="auto"/>
          <w:sz w:val="28"/>
          <w:szCs w:val="28"/>
          <w:lang w:eastAsia="zh-CN"/>
        </w:rPr>
        <w:t>。</w:t>
      </w:r>
    </w:p>
    <w:p>
      <w:pPr>
        <w:keepNext w:val="0"/>
        <w:keepLines w:val="0"/>
        <w:pageBreakBefore w:val="0"/>
        <w:widowControl/>
        <w:kinsoku/>
        <w:wordWrap/>
        <w:overflowPunct/>
        <w:topLinePunct w:val="0"/>
        <w:autoSpaceDE/>
        <w:autoSpaceDN/>
        <w:bidi w:val="0"/>
        <w:adjustRightInd/>
        <w:snapToGrid/>
        <w:spacing w:line="240" w:lineRule="auto"/>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095625" cy="1353820"/>
            <wp:effectExtent l="0" t="0" r="9525" b="17780"/>
            <wp:docPr id="12" name="图片 12" descr="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片9"/>
                    <pic:cNvPicPr>
                      <a:picLocks noChangeAspect="1"/>
                    </pic:cNvPicPr>
                  </pic:nvPicPr>
                  <pic:blipFill>
                    <a:blip r:embed="rId17"/>
                    <a:stretch>
                      <a:fillRect/>
                    </a:stretch>
                  </pic:blipFill>
                  <pic:spPr>
                    <a:xfrm>
                      <a:off x="0" y="0"/>
                      <a:ext cx="3095625" cy="135382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ind w:firstLine="2650" w:firstLineChars="11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2</w:t>
      </w:r>
      <w:r>
        <w:rPr>
          <w:rFonts w:hint="eastAsia" w:ascii="仿宋" w:hAnsi="仿宋" w:eastAsia="仿宋" w:cs="仿宋"/>
          <w:b/>
          <w:color w:val="auto"/>
          <w:sz w:val="24"/>
          <w:szCs w:val="24"/>
        </w:rPr>
        <w:t xml:space="preserve"> 三船U型布放围油栏</w:t>
      </w:r>
    </w:p>
    <w:p>
      <w:pPr>
        <w:keepNext w:val="0"/>
        <w:keepLines w:val="0"/>
        <w:pageBreakBefore w:val="0"/>
        <w:widowControl/>
        <w:kinsoku/>
        <w:wordWrap/>
        <w:overflowPunct/>
        <w:topLinePunct w:val="0"/>
        <w:autoSpaceDE/>
        <w:autoSpaceDN/>
        <w:bidi w:val="0"/>
        <w:adjustRightInd/>
        <w:snapToGrid/>
        <w:spacing w:line="240" w:lineRule="auto"/>
        <w:jc w:val="both"/>
        <w:textAlignment w:val="auto"/>
        <w:rPr>
          <w:rFonts w:hint="eastAsia" w:ascii="仿宋" w:hAnsi="仿宋" w:eastAsia="仿宋" w:cs="仿宋"/>
          <w:b/>
          <w:color w:val="auto"/>
          <w:sz w:val="28"/>
          <w:szCs w:val="28"/>
          <w:lang w:eastAsia="zh-CN"/>
        </w:rPr>
      </w:pPr>
      <w:r>
        <w:rPr>
          <w:rFonts w:hint="eastAsia" w:ascii="仿宋" w:hAnsi="仿宋" w:eastAsia="仿宋" w:cs="仿宋"/>
          <w:b/>
          <w:color w:val="auto"/>
          <w:sz w:val="28"/>
          <w:szCs w:val="28"/>
          <w:lang w:val="en-US" w:eastAsia="zh-CN"/>
        </w:rPr>
        <w:t xml:space="preserve">               </w:t>
      </w:r>
      <w:r>
        <w:rPr>
          <w:rFonts w:hint="eastAsia" w:ascii="仿宋" w:hAnsi="仿宋" w:eastAsia="仿宋" w:cs="仿宋"/>
          <w:b/>
          <w:color w:val="auto"/>
          <w:sz w:val="28"/>
          <w:szCs w:val="28"/>
          <w:lang w:eastAsia="zh-CN"/>
        </w:rPr>
        <w:drawing>
          <wp:inline distT="0" distB="0" distL="114300" distR="114300">
            <wp:extent cx="2990850" cy="1466850"/>
            <wp:effectExtent l="0" t="0" r="0" b="0"/>
            <wp:docPr id="13" name="图片 13" descr="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片10"/>
                    <pic:cNvPicPr>
                      <a:picLocks noChangeAspect="1"/>
                    </pic:cNvPicPr>
                  </pic:nvPicPr>
                  <pic:blipFill>
                    <a:blip r:embed="rId18"/>
                    <a:stretch>
                      <a:fillRect/>
                    </a:stretch>
                  </pic:blipFill>
                  <pic:spPr>
                    <a:xfrm>
                      <a:off x="0" y="0"/>
                      <a:ext cx="2990850" cy="1466850"/>
                    </a:xfrm>
                    <a:prstGeom prst="rect">
                      <a:avLst/>
                    </a:prstGeom>
                  </pic:spPr>
                </pic:pic>
              </a:graphicData>
            </a:graphic>
          </wp:inline>
        </w:drawing>
      </w:r>
    </w:p>
    <w:p>
      <w:pPr>
        <w:pStyle w:val="7"/>
        <w:spacing w:before="10"/>
        <w:rPr>
          <w:rFonts w:hint="eastAsia" w:ascii="仿宋" w:hAnsi="仿宋" w:eastAsia="仿宋" w:cs="仿宋"/>
          <w:b/>
          <w:color w:val="auto"/>
          <w:sz w:val="28"/>
          <w:szCs w:val="28"/>
        </w:rPr>
      </w:pP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3</w:t>
      </w:r>
      <w:r>
        <w:rPr>
          <w:rFonts w:hint="eastAsia" w:ascii="仿宋" w:hAnsi="仿宋" w:eastAsia="仿宋" w:cs="仿宋"/>
          <w:b/>
          <w:color w:val="auto"/>
          <w:sz w:val="24"/>
          <w:szCs w:val="24"/>
        </w:rPr>
        <w:t xml:space="preserve"> 三船开口U形布放围油栏</w:t>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U-形围控是用两艘船舶并行拖带围油栏而成，围油栏的长度一般需要600m。与J形拖带相比，两艘船舶并行更容易保持正确的位置。第三艘船舶应置于U形的底部外侧，操作收油机。由于需要储存大量的回收油，因此，该船应有较大的舱容，避免经常更换回收船舶。</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开口的U形围控是由U形围控进一步发展而成的，两段围油栏在开口处分别向两侧伸展3-10 m，形成一个漏斗，利用绳索调整U-形底部，使其开口宽度为5-10 m，以减少湍流对浮油的影响。该形式能够控制溢油的流动，使回收工作更加容易，然后利用单侧围扫或双侧围扫进行回收。</w:t>
      </w:r>
    </w:p>
    <w:p>
      <w:pPr>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lang w:val="en-US" w:eastAsia="zh-CN"/>
        </w:rPr>
        <w:t xml:space="preserve">6.1.5.2 </w:t>
      </w:r>
      <w:r>
        <w:rPr>
          <w:rFonts w:hint="eastAsia" w:ascii="仿宋" w:hAnsi="仿宋" w:eastAsia="仿宋" w:cs="仿宋"/>
          <w:b/>
          <w:color w:val="auto"/>
          <w:sz w:val="28"/>
          <w:szCs w:val="28"/>
        </w:rPr>
        <w:t>近岸围油栏的布放形式</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近岸水域围油栏的布放形式取决于布放目的。如果用于围控，应采用岸滩围油栏与其他围油栏连接的形式；如果用于导流，应采用多层围油栏重叠布放形式。</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近岸围油栏布放方式与开阔水域有所不同，欲使围油栏的各布放方式起到应有作用，应考虑下面几种因素：</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1）所保护的水域环境情况，特别是布放水域的流向和流速，以便决定正确的布放角度。经验证明，在相对围油栏垂直方向的流速超过0.7 kn时，溢油将从围油栏下面逃逸，围控围油栏达不到围控溢油的目的。因此，在急流的沿海水域，布放围油栏应与流向有一定角度，以减小溢油相对围油栏的运动速度。流速越大，围油栏相对流速的夹角应越小。</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2）考虑当地水域的潮差和水深。在近岸、浅水区布放围油栏应考虑当地水域的潮差和水深是否满足围油栏的吃水要求，水深至少应是围油栏吃水的3倍深度。否则，围油栏将会失去作用。为防止溢油对河岸和潮间带的污染，应考虑使用岸滩式围油栏。</w:t>
      </w:r>
    </w:p>
    <w:p>
      <w:pPr>
        <w:pStyle w:val="26"/>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bookmarkStart w:id="70" w:name="_Toc1447"/>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.1.6</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围油栏的布放</w:t>
      </w:r>
      <w:bookmarkEnd w:id="70"/>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根据围油栏的种类和使用区域，本公司布放围油栏的方法主要有从船舶上布放和从岸上布放两种。</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 xml:space="preserve">6.1.6.1 </w:t>
      </w:r>
      <w:r>
        <w:rPr>
          <w:rFonts w:hint="eastAsia" w:ascii="仿宋" w:hAnsi="仿宋" w:eastAsia="仿宋" w:cs="仿宋"/>
          <w:b/>
          <w:bCs/>
          <w:sz w:val="28"/>
          <w:szCs w:val="28"/>
        </w:rPr>
        <w:t>从船舶上布放</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sz w:val="28"/>
          <w:szCs w:val="28"/>
        </w:rPr>
        <w:t>本公司</w:t>
      </w:r>
      <w:r>
        <w:rPr>
          <w:rFonts w:hint="eastAsia" w:ascii="仿宋" w:hAnsi="仿宋" w:eastAsia="仿宋" w:cs="仿宋"/>
          <w:sz w:val="28"/>
          <w:szCs w:val="28"/>
          <w:lang w:eastAsia="zh-CN"/>
        </w:rPr>
        <w:t>配备有</w:t>
      </w:r>
      <w:r>
        <w:rPr>
          <w:rFonts w:hint="eastAsia" w:ascii="仿宋" w:hAnsi="仿宋" w:eastAsia="仿宋" w:cs="仿宋"/>
          <w:sz w:val="28"/>
          <w:szCs w:val="28"/>
        </w:rPr>
        <w:t>“</w:t>
      </w:r>
      <w:r>
        <w:rPr>
          <w:rFonts w:hint="eastAsia" w:ascii="仿宋" w:hAnsi="仿宋" w:eastAsia="仿宋" w:cs="仿宋"/>
          <w:sz w:val="28"/>
          <w:szCs w:val="28"/>
          <w:lang w:eastAsia="zh-CN"/>
        </w:rPr>
        <w:t>众和</w:t>
      </w:r>
      <w:r>
        <w:rPr>
          <w:rFonts w:hint="eastAsia" w:ascii="仿宋" w:hAnsi="仿宋" w:eastAsia="仿宋" w:cs="仿宋"/>
          <w:sz w:val="28"/>
          <w:szCs w:val="28"/>
        </w:rPr>
        <w:t>1”</w:t>
      </w:r>
      <w:r>
        <w:rPr>
          <w:rFonts w:hint="eastAsia" w:ascii="仿宋" w:hAnsi="仿宋" w:eastAsia="仿宋" w:cs="仿宋"/>
          <w:sz w:val="28"/>
          <w:szCs w:val="28"/>
          <w:lang w:eastAsia="zh-CN"/>
        </w:rPr>
        <w:t>专业清污</w:t>
      </w:r>
      <w:r>
        <w:rPr>
          <w:rFonts w:hint="eastAsia" w:ascii="仿宋" w:hAnsi="仿宋" w:eastAsia="仿宋" w:cs="仿宋"/>
          <w:sz w:val="28"/>
          <w:szCs w:val="28"/>
        </w:rPr>
        <w:t>船，以及</w:t>
      </w:r>
      <w:r>
        <w:rPr>
          <w:rFonts w:hint="eastAsia" w:ascii="仿宋" w:hAnsi="仿宋" w:eastAsia="仿宋" w:cs="仿宋"/>
          <w:sz w:val="28"/>
          <w:szCs w:val="28"/>
          <w:lang w:val="en-US" w:eastAsia="zh-CN"/>
        </w:rPr>
        <w:t>6</w:t>
      </w:r>
      <w:r>
        <w:rPr>
          <w:rFonts w:hint="eastAsia" w:ascii="仿宋" w:hAnsi="仿宋" w:eastAsia="仿宋" w:cs="仿宋"/>
          <w:sz w:val="28"/>
          <w:szCs w:val="28"/>
        </w:rPr>
        <w:t>条辅助船舶中的</w:t>
      </w:r>
      <w:r>
        <w:rPr>
          <w:rFonts w:hint="eastAsia" w:ascii="仿宋" w:hAnsi="仿宋" w:eastAsia="仿宋" w:cs="仿宋"/>
          <w:sz w:val="28"/>
          <w:szCs w:val="28"/>
          <w:lang w:val="en-US" w:eastAsia="zh-CN"/>
        </w:rPr>
        <w:t>3</w:t>
      </w:r>
      <w:r>
        <w:rPr>
          <w:rFonts w:hint="eastAsia" w:ascii="仿宋" w:hAnsi="仿宋" w:eastAsia="仿宋" w:cs="仿宋"/>
          <w:sz w:val="28"/>
          <w:szCs w:val="28"/>
        </w:rPr>
        <w:t>条具有围油栏布放功能</w:t>
      </w:r>
      <w:r>
        <w:rPr>
          <w:rFonts w:hint="eastAsia" w:ascii="仿宋" w:hAnsi="仿宋" w:eastAsia="仿宋" w:cs="仿宋"/>
          <w:sz w:val="28"/>
          <w:szCs w:val="28"/>
          <w:lang w:eastAsia="zh-CN"/>
        </w:rPr>
        <w:t>（</w:t>
      </w:r>
      <w:r>
        <w:rPr>
          <w:rFonts w:hint="eastAsia" w:ascii="仿宋" w:hAnsi="仿宋" w:eastAsia="仿宋" w:cs="仿宋"/>
          <w:sz w:val="28"/>
          <w:szCs w:val="28"/>
        </w:rPr>
        <w:t>详见表</w:t>
      </w:r>
      <w:r>
        <w:rPr>
          <w:rFonts w:hint="eastAsia" w:ascii="仿宋" w:hAnsi="仿宋" w:eastAsia="仿宋" w:cs="仿宋"/>
          <w:sz w:val="28"/>
          <w:szCs w:val="28"/>
          <w:lang w:val="en-US" w:eastAsia="zh-CN"/>
        </w:rPr>
        <w:t>6</w:t>
      </w:r>
      <w:r>
        <w:rPr>
          <w:rFonts w:hint="eastAsia" w:ascii="仿宋" w:hAnsi="仿宋" w:eastAsia="仿宋" w:cs="仿宋"/>
          <w:sz w:val="28"/>
          <w:szCs w:val="28"/>
        </w:rPr>
        <w:t>-4</w:t>
      </w:r>
      <w:r>
        <w:rPr>
          <w:rFonts w:hint="eastAsia" w:ascii="仿宋" w:hAnsi="仿宋" w:eastAsia="仿宋" w:cs="仿宋"/>
          <w:sz w:val="28"/>
          <w:szCs w:val="28"/>
          <w:lang w:eastAsia="zh-CN"/>
        </w:rPr>
        <w:t>）</w:t>
      </w:r>
      <w:r>
        <w:rPr>
          <w:rFonts w:hint="eastAsia" w:ascii="仿宋" w:hAnsi="仿宋" w:eastAsia="仿宋" w:cs="仿宋"/>
          <w:color w:val="auto"/>
          <w:sz w:val="28"/>
          <w:szCs w:val="28"/>
        </w:rPr>
        <w:t>。</w:t>
      </w:r>
    </w:p>
    <w:p>
      <w:pPr>
        <w:widowControl/>
        <w:autoSpaceDE/>
        <w:autoSpaceDN/>
        <w:spacing w:before="0" w:after="0" w:line="240" w:lineRule="auto"/>
        <w:ind w:left="0" w:right="0"/>
        <w:jc w:val="center"/>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表</w:t>
      </w:r>
      <w:r>
        <w:rPr>
          <w:rFonts w:hint="eastAsia" w:ascii="仿宋" w:hAnsi="仿宋" w:eastAsia="仿宋" w:cs="仿宋"/>
          <w:b/>
          <w:color w:val="auto"/>
          <w:sz w:val="28"/>
          <w:szCs w:val="28"/>
          <w:lang w:val="en-US" w:eastAsia="zh-CN" w:bidi="ar-SA"/>
        </w:rPr>
        <w:t>6</w:t>
      </w:r>
      <w:r>
        <w:rPr>
          <w:rFonts w:hint="eastAsia" w:ascii="仿宋" w:hAnsi="仿宋" w:eastAsia="仿宋" w:cs="仿宋"/>
          <w:b/>
          <w:color w:val="auto"/>
          <w:sz w:val="28"/>
          <w:szCs w:val="28"/>
          <w:lang w:val="en-US" w:bidi="ar-SA"/>
        </w:rPr>
        <w:t>-4 本公司可用于围油栏布放的船舶情况表</w:t>
      </w:r>
    </w:p>
    <w:tbl>
      <w:tblPr>
        <w:tblStyle w:val="13"/>
        <w:tblW w:w="9030" w:type="dxa"/>
        <w:tblInd w:w="121" w:type="dxa"/>
        <w:tblLayout w:type="autofit"/>
        <w:tblCellMar>
          <w:top w:w="0" w:type="dxa"/>
          <w:left w:w="108" w:type="dxa"/>
          <w:bottom w:w="0" w:type="dxa"/>
          <w:right w:w="108" w:type="dxa"/>
        </w:tblCellMar>
      </w:tblPr>
      <w:tblGrid>
        <w:gridCol w:w="780"/>
        <w:gridCol w:w="1210"/>
        <w:gridCol w:w="945"/>
        <w:gridCol w:w="1127"/>
        <w:gridCol w:w="951"/>
        <w:gridCol w:w="706"/>
        <w:gridCol w:w="3311"/>
      </w:tblGrid>
      <w:tr>
        <w:tblPrEx>
          <w:tblCellMar>
            <w:top w:w="0" w:type="dxa"/>
            <w:left w:w="108" w:type="dxa"/>
            <w:bottom w:w="0" w:type="dxa"/>
            <w:right w:w="108" w:type="dxa"/>
          </w:tblCellMar>
        </w:tblPrEx>
        <w:trPr>
          <w:tblHeader/>
        </w:trPr>
        <w:tc>
          <w:tcPr>
            <w:tcW w:w="780" w:type="dxa"/>
            <w:tcBorders>
              <w:top w:val="single" w:color="000000" w:sz="12" w:space="0"/>
              <w:left w:val="single" w:color="000000" w:sz="12"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编号</w:t>
            </w:r>
          </w:p>
        </w:tc>
        <w:tc>
          <w:tcPr>
            <w:tcW w:w="1210" w:type="dxa"/>
            <w:tcBorders>
              <w:top w:val="single" w:color="000000" w:sz="12"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船 名</w:t>
            </w:r>
          </w:p>
        </w:tc>
        <w:tc>
          <w:tcPr>
            <w:tcW w:w="945" w:type="dxa"/>
            <w:tcBorders>
              <w:top w:val="single" w:color="000000" w:sz="12"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船长度</w:t>
            </w:r>
          </w:p>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（m）</w:t>
            </w:r>
          </w:p>
        </w:tc>
        <w:tc>
          <w:tcPr>
            <w:tcW w:w="1127" w:type="dxa"/>
            <w:tcBorders>
              <w:top w:val="single" w:color="000000" w:sz="12"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满载</w:t>
            </w:r>
          </w:p>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吃水（m）</w:t>
            </w:r>
          </w:p>
        </w:tc>
        <w:tc>
          <w:tcPr>
            <w:tcW w:w="951" w:type="dxa"/>
            <w:tcBorders>
              <w:top w:val="single" w:color="000000" w:sz="12"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舱 容</w:t>
            </w:r>
          </w:p>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bCs/>
                <w:color w:val="auto"/>
                <w:sz w:val="24"/>
                <w:szCs w:val="24"/>
                <w:lang w:val="en-US" w:bidi="ar-SA"/>
              </w:rPr>
              <w:t>（m³）</w:t>
            </w:r>
          </w:p>
        </w:tc>
        <w:tc>
          <w:tcPr>
            <w:tcW w:w="706" w:type="dxa"/>
            <w:tcBorders>
              <w:top w:val="single" w:color="000000" w:sz="12"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最高</w:t>
            </w:r>
          </w:p>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航速</w:t>
            </w:r>
          </w:p>
        </w:tc>
        <w:tc>
          <w:tcPr>
            <w:tcW w:w="3311" w:type="dxa"/>
            <w:tcBorders>
              <w:top w:val="single" w:color="000000" w:sz="12" w:space="0"/>
              <w:left w:val="single" w:color="000000" w:sz="6" w:space="0"/>
              <w:bottom w:val="single" w:color="000000" w:sz="6" w:space="0"/>
              <w:right w:val="single" w:color="000000" w:sz="12" w:space="0"/>
            </w:tcBorders>
            <w:noWrap w:val="0"/>
            <w:vAlign w:val="center"/>
          </w:tcPr>
          <w:p>
            <w:pPr>
              <w:widowControl/>
              <w:autoSpaceDE/>
              <w:autoSpaceDN/>
              <w:spacing w:before="0" w:after="0" w:line="240" w:lineRule="auto"/>
              <w:ind w:left="0" w:right="0"/>
              <w:jc w:val="center"/>
              <w:rPr>
                <w:rFonts w:hint="eastAsia" w:ascii="仿宋" w:hAnsi="仿宋" w:eastAsia="仿宋" w:cs="仿宋"/>
                <w:b/>
                <w:color w:val="auto"/>
                <w:sz w:val="24"/>
                <w:szCs w:val="24"/>
                <w:lang w:val="en-US" w:bidi="ar-SA"/>
              </w:rPr>
            </w:pPr>
            <w:r>
              <w:rPr>
                <w:rFonts w:hint="eastAsia" w:ascii="仿宋" w:hAnsi="仿宋" w:eastAsia="仿宋" w:cs="仿宋"/>
                <w:b/>
                <w:color w:val="auto"/>
                <w:sz w:val="24"/>
                <w:szCs w:val="24"/>
                <w:lang w:val="en-US" w:bidi="ar-SA"/>
              </w:rPr>
              <w:t>功能/作用</w:t>
            </w:r>
          </w:p>
        </w:tc>
      </w:tr>
      <w:tr>
        <w:tblPrEx>
          <w:tblCellMar>
            <w:top w:w="0" w:type="dxa"/>
            <w:left w:w="108" w:type="dxa"/>
            <w:bottom w:w="0" w:type="dxa"/>
            <w:right w:w="108" w:type="dxa"/>
          </w:tblCellMar>
        </w:tblPrEx>
        <w:trPr>
          <w:trHeight w:val="521" w:hRule="atLeast"/>
        </w:trPr>
        <w:tc>
          <w:tcPr>
            <w:tcW w:w="780" w:type="dxa"/>
            <w:tcBorders>
              <w:top w:val="single" w:color="000000" w:sz="6" w:space="0"/>
              <w:left w:val="single" w:color="000000" w:sz="12"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1</w:t>
            </w:r>
          </w:p>
        </w:tc>
        <w:tc>
          <w:tcPr>
            <w:tcW w:w="1210"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right="0"/>
              <w:jc w:val="center"/>
              <w:rPr>
                <w:rFonts w:hint="eastAsia" w:ascii="仿宋" w:hAnsi="仿宋" w:eastAsia="仿宋" w:cs="仿宋"/>
                <w:color w:val="auto"/>
                <w:sz w:val="24"/>
                <w:szCs w:val="24"/>
                <w:lang w:val="en-US" w:bidi="ar-SA"/>
              </w:rPr>
            </w:pPr>
            <w:r>
              <w:rPr>
                <w:rFonts w:hint="eastAsia" w:ascii="仿宋" w:hAnsi="仿宋" w:eastAsia="仿宋" w:cs="仿宋"/>
                <w:sz w:val="24"/>
                <w:szCs w:val="24"/>
                <w:lang w:val="en-US" w:eastAsia="zh-CN"/>
              </w:rPr>
              <w:t>众和</w:t>
            </w:r>
            <w:r>
              <w:rPr>
                <w:rFonts w:hint="eastAsia" w:ascii="仿宋" w:hAnsi="仿宋" w:eastAsia="仿宋" w:cs="仿宋"/>
                <w:sz w:val="24"/>
                <w:szCs w:val="24"/>
                <w:lang w:val="en-US"/>
              </w:rPr>
              <w:t>1</w:t>
            </w:r>
          </w:p>
        </w:tc>
        <w:tc>
          <w:tcPr>
            <w:tcW w:w="945"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46.5</w:t>
            </w:r>
          </w:p>
        </w:tc>
        <w:tc>
          <w:tcPr>
            <w:tcW w:w="1127"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2.95</w:t>
            </w:r>
          </w:p>
        </w:tc>
        <w:tc>
          <w:tcPr>
            <w:tcW w:w="951"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502</w:t>
            </w:r>
          </w:p>
        </w:tc>
        <w:tc>
          <w:tcPr>
            <w:tcW w:w="706"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12</w:t>
            </w:r>
          </w:p>
        </w:tc>
        <w:tc>
          <w:tcPr>
            <w:tcW w:w="3311" w:type="dxa"/>
            <w:tcBorders>
              <w:top w:val="single" w:color="000000" w:sz="6" w:space="0"/>
              <w:left w:val="single" w:color="000000" w:sz="6" w:space="0"/>
              <w:bottom w:val="single" w:color="000000" w:sz="6" w:space="0"/>
              <w:right w:val="single" w:color="000000" w:sz="12"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溢油应急处置船</w:t>
            </w:r>
          </w:p>
        </w:tc>
      </w:tr>
      <w:tr>
        <w:tblPrEx>
          <w:tblCellMar>
            <w:top w:w="0" w:type="dxa"/>
            <w:left w:w="108" w:type="dxa"/>
            <w:bottom w:w="0" w:type="dxa"/>
            <w:right w:w="108" w:type="dxa"/>
          </w:tblCellMar>
        </w:tblPrEx>
        <w:trPr>
          <w:trHeight w:val="416" w:hRule="atLeast"/>
        </w:trPr>
        <w:tc>
          <w:tcPr>
            <w:tcW w:w="780" w:type="dxa"/>
            <w:tcBorders>
              <w:top w:val="single" w:color="000000" w:sz="6" w:space="0"/>
              <w:left w:val="single" w:color="000000" w:sz="12"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2</w:t>
            </w:r>
          </w:p>
        </w:tc>
        <w:tc>
          <w:tcPr>
            <w:tcW w:w="1210"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众和3</w:t>
            </w:r>
          </w:p>
        </w:tc>
        <w:tc>
          <w:tcPr>
            <w:tcW w:w="945"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19.10</w:t>
            </w:r>
          </w:p>
        </w:tc>
        <w:tc>
          <w:tcPr>
            <w:tcW w:w="1127"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1.85</w:t>
            </w:r>
          </w:p>
        </w:tc>
        <w:tc>
          <w:tcPr>
            <w:tcW w:w="951"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28</w:t>
            </w:r>
          </w:p>
        </w:tc>
        <w:tc>
          <w:tcPr>
            <w:tcW w:w="706"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10</w:t>
            </w:r>
          </w:p>
        </w:tc>
        <w:tc>
          <w:tcPr>
            <w:tcW w:w="3311" w:type="dxa"/>
            <w:tcBorders>
              <w:top w:val="single" w:color="000000" w:sz="6" w:space="0"/>
              <w:left w:val="single" w:color="000000" w:sz="6" w:space="0"/>
              <w:bottom w:val="single" w:color="000000" w:sz="6" w:space="0"/>
              <w:right w:val="single" w:color="000000" w:sz="12"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围油栏布控及污染物处置船</w:t>
            </w:r>
          </w:p>
        </w:tc>
      </w:tr>
      <w:tr>
        <w:tblPrEx>
          <w:tblCellMar>
            <w:top w:w="0" w:type="dxa"/>
            <w:left w:w="108" w:type="dxa"/>
            <w:bottom w:w="0" w:type="dxa"/>
            <w:right w:w="108" w:type="dxa"/>
          </w:tblCellMar>
        </w:tblPrEx>
        <w:trPr>
          <w:trHeight w:val="476" w:hRule="atLeast"/>
        </w:trPr>
        <w:tc>
          <w:tcPr>
            <w:tcW w:w="780" w:type="dxa"/>
            <w:tcBorders>
              <w:top w:val="single" w:color="000000" w:sz="6" w:space="0"/>
              <w:left w:val="single" w:color="000000" w:sz="12"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3</w:t>
            </w:r>
          </w:p>
        </w:tc>
        <w:tc>
          <w:tcPr>
            <w:tcW w:w="1210"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众和6</w:t>
            </w:r>
          </w:p>
        </w:tc>
        <w:tc>
          <w:tcPr>
            <w:tcW w:w="945"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23.2</w:t>
            </w:r>
          </w:p>
        </w:tc>
        <w:tc>
          <w:tcPr>
            <w:tcW w:w="1127"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2.45</w:t>
            </w:r>
          </w:p>
        </w:tc>
        <w:tc>
          <w:tcPr>
            <w:tcW w:w="951"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82</w:t>
            </w:r>
          </w:p>
        </w:tc>
        <w:tc>
          <w:tcPr>
            <w:tcW w:w="706"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7</w:t>
            </w:r>
          </w:p>
        </w:tc>
        <w:tc>
          <w:tcPr>
            <w:tcW w:w="3311" w:type="dxa"/>
            <w:tcBorders>
              <w:top w:val="single" w:color="000000" w:sz="6" w:space="0"/>
              <w:left w:val="single" w:color="000000" w:sz="6" w:space="0"/>
              <w:bottom w:val="single" w:color="000000" w:sz="6" w:space="0"/>
              <w:right w:val="single" w:color="000000" w:sz="12"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围油栏布控及污染物处置船</w:t>
            </w:r>
          </w:p>
        </w:tc>
      </w:tr>
      <w:tr>
        <w:tblPrEx>
          <w:tblCellMar>
            <w:top w:w="0" w:type="dxa"/>
            <w:left w:w="108" w:type="dxa"/>
            <w:bottom w:w="0" w:type="dxa"/>
            <w:right w:w="108" w:type="dxa"/>
          </w:tblCellMar>
        </w:tblPrEx>
        <w:tc>
          <w:tcPr>
            <w:tcW w:w="780" w:type="dxa"/>
            <w:tcBorders>
              <w:top w:val="single" w:color="000000" w:sz="6" w:space="0"/>
              <w:left w:val="single" w:color="000000" w:sz="12"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4</w:t>
            </w:r>
          </w:p>
        </w:tc>
        <w:tc>
          <w:tcPr>
            <w:tcW w:w="1210"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浙玉交1001</w:t>
            </w:r>
          </w:p>
        </w:tc>
        <w:tc>
          <w:tcPr>
            <w:tcW w:w="945"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19.80</w:t>
            </w:r>
          </w:p>
        </w:tc>
        <w:tc>
          <w:tcPr>
            <w:tcW w:w="1127"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p>
        </w:tc>
        <w:tc>
          <w:tcPr>
            <w:tcW w:w="951"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p>
        </w:tc>
        <w:tc>
          <w:tcPr>
            <w:tcW w:w="706"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10</w:t>
            </w:r>
          </w:p>
        </w:tc>
        <w:tc>
          <w:tcPr>
            <w:tcW w:w="3311" w:type="dxa"/>
            <w:tcBorders>
              <w:top w:val="single" w:color="000000" w:sz="6" w:space="0"/>
              <w:left w:val="single" w:color="000000" w:sz="6" w:space="0"/>
              <w:bottom w:val="single" w:color="000000" w:sz="6" w:space="0"/>
              <w:right w:val="single" w:color="000000" w:sz="12"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吸附材料布放和回收船、辅助布放围油栏</w:t>
            </w:r>
          </w:p>
        </w:tc>
      </w:tr>
      <w:tr>
        <w:tblPrEx>
          <w:tblCellMar>
            <w:top w:w="0" w:type="dxa"/>
            <w:left w:w="108" w:type="dxa"/>
            <w:bottom w:w="0" w:type="dxa"/>
            <w:right w:w="108" w:type="dxa"/>
          </w:tblCellMar>
        </w:tblPrEx>
        <w:tc>
          <w:tcPr>
            <w:tcW w:w="780" w:type="dxa"/>
            <w:tcBorders>
              <w:top w:val="single" w:color="000000" w:sz="6" w:space="0"/>
              <w:left w:val="single" w:color="000000" w:sz="12"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5</w:t>
            </w:r>
          </w:p>
        </w:tc>
        <w:tc>
          <w:tcPr>
            <w:tcW w:w="1210"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bidi="ar-SA"/>
              </w:rPr>
            </w:pPr>
            <w:r>
              <w:rPr>
                <w:rFonts w:hint="eastAsia" w:ascii="仿宋" w:hAnsi="仿宋" w:eastAsia="仿宋" w:cs="仿宋"/>
                <w:color w:val="auto"/>
                <w:sz w:val="24"/>
                <w:szCs w:val="24"/>
                <w:lang w:val="en-US" w:eastAsia="zh-CN" w:bidi="ar-SA"/>
              </w:rPr>
              <w:t>浙玉渔运60001</w:t>
            </w:r>
          </w:p>
        </w:tc>
        <w:tc>
          <w:tcPr>
            <w:tcW w:w="945"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26.3</w:t>
            </w:r>
          </w:p>
        </w:tc>
        <w:tc>
          <w:tcPr>
            <w:tcW w:w="1127"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1.80</w:t>
            </w:r>
          </w:p>
        </w:tc>
        <w:tc>
          <w:tcPr>
            <w:tcW w:w="951"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p>
        </w:tc>
        <w:tc>
          <w:tcPr>
            <w:tcW w:w="706"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10</w:t>
            </w:r>
          </w:p>
        </w:tc>
        <w:tc>
          <w:tcPr>
            <w:tcW w:w="3311" w:type="dxa"/>
            <w:tcBorders>
              <w:top w:val="single" w:color="000000" w:sz="6" w:space="0"/>
              <w:left w:val="single" w:color="000000" w:sz="6" w:space="0"/>
              <w:bottom w:val="single" w:color="000000" w:sz="6" w:space="0"/>
              <w:right w:val="single" w:color="000000" w:sz="12"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吸附材料布放和回收船</w:t>
            </w:r>
          </w:p>
        </w:tc>
      </w:tr>
      <w:tr>
        <w:tblPrEx>
          <w:tblCellMar>
            <w:top w:w="0" w:type="dxa"/>
            <w:left w:w="108" w:type="dxa"/>
            <w:bottom w:w="0" w:type="dxa"/>
            <w:right w:w="108" w:type="dxa"/>
          </w:tblCellMar>
        </w:tblPrEx>
        <w:tc>
          <w:tcPr>
            <w:tcW w:w="780" w:type="dxa"/>
            <w:tcBorders>
              <w:top w:val="single" w:color="000000" w:sz="6" w:space="0"/>
              <w:left w:val="single" w:color="000000" w:sz="12"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6</w:t>
            </w:r>
          </w:p>
        </w:tc>
        <w:tc>
          <w:tcPr>
            <w:tcW w:w="1210"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浙玉渔运60089</w:t>
            </w:r>
          </w:p>
        </w:tc>
        <w:tc>
          <w:tcPr>
            <w:tcW w:w="945"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26.6</w:t>
            </w:r>
          </w:p>
        </w:tc>
        <w:tc>
          <w:tcPr>
            <w:tcW w:w="1127"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1.70</w:t>
            </w:r>
          </w:p>
        </w:tc>
        <w:tc>
          <w:tcPr>
            <w:tcW w:w="951"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p>
        </w:tc>
        <w:tc>
          <w:tcPr>
            <w:tcW w:w="706" w:type="dxa"/>
            <w:tcBorders>
              <w:top w:val="single" w:color="000000" w:sz="6" w:space="0"/>
              <w:left w:val="single" w:color="000000" w:sz="6" w:space="0"/>
              <w:bottom w:val="single" w:color="000000" w:sz="6"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10.5</w:t>
            </w:r>
          </w:p>
        </w:tc>
        <w:tc>
          <w:tcPr>
            <w:tcW w:w="3311" w:type="dxa"/>
            <w:tcBorders>
              <w:top w:val="single" w:color="000000" w:sz="6" w:space="0"/>
              <w:left w:val="single" w:color="000000" w:sz="6" w:space="0"/>
              <w:bottom w:val="single" w:color="000000" w:sz="6" w:space="0"/>
              <w:right w:val="single" w:color="000000" w:sz="12"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吸附材料布放和回收船</w:t>
            </w:r>
          </w:p>
        </w:tc>
      </w:tr>
      <w:tr>
        <w:tblPrEx>
          <w:tblCellMar>
            <w:top w:w="0" w:type="dxa"/>
            <w:left w:w="108" w:type="dxa"/>
            <w:bottom w:w="0" w:type="dxa"/>
            <w:right w:w="108" w:type="dxa"/>
          </w:tblCellMar>
        </w:tblPrEx>
        <w:trPr>
          <w:trHeight w:val="597" w:hRule="atLeast"/>
        </w:trPr>
        <w:tc>
          <w:tcPr>
            <w:tcW w:w="780" w:type="dxa"/>
            <w:tcBorders>
              <w:top w:val="single" w:color="000000" w:sz="6" w:space="0"/>
              <w:left w:val="single" w:color="000000" w:sz="12" w:space="0"/>
              <w:bottom w:val="single" w:color="000000" w:sz="12"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7</w:t>
            </w:r>
          </w:p>
        </w:tc>
        <w:tc>
          <w:tcPr>
            <w:tcW w:w="1210" w:type="dxa"/>
            <w:tcBorders>
              <w:top w:val="single" w:color="000000" w:sz="6" w:space="0"/>
              <w:left w:val="single" w:color="000000" w:sz="6" w:space="0"/>
              <w:bottom w:val="single" w:color="000000" w:sz="12"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浙玉渔运</w:t>
            </w:r>
          </w:p>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10399</w:t>
            </w:r>
          </w:p>
        </w:tc>
        <w:tc>
          <w:tcPr>
            <w:tcW w:w="945" w:type="dxa"/>
            <w:tcBorders>
              <w:top w:val="single" w:color="000000" w:sz="6" w:space="0"/>
              <w:left w:val="single" w:color="000000" w:sz="6" w:space="0"/>
              <w:bottom w:val="single" w:color="000000" w:sz="12"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25.2</w:t>
            </w:r>
          </w:p>
        </w:tc>
        <w:tc>
          <w:tcPr>
            <w:tcW w:w="1127" w:type="dxa"/>
            <w:tcBorders>
              <w:top w:val="single" w:color="000000" w:sz="6" w:space="0"/>
              <w:left w:val="single" w:color="000000" w:sz="6" w:space="0"/>
              <w:bottom w:val="single" w:color="000000" w:sz="12"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1.70</w:t>
            </w:r>
          </w:p>
        </w:tc>
        <w:tc>
          <w:tcPr>
            <w:tcW w:w="951" w:type="dxa"/>
            <w:tcBorders>
              <w:top w:val="single" w:color="000000" w:sz="6" w:space="0"/>
              <w:left w:val="single" w:color="000000" w:sz="6" w:space="0"/>
              <w:bottom w:val="single" w:color="000000" w:sz="12" w:space="0"/>
              <w:right w:val="single" w:color="000000" w:sz="6"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p>
        </w:tc>
        <w:tc>
          <w:tcPr>
            <w:tcW w:w="706" w:type="dxa"/>
            <w:tcBorders>
              <w:top w:val="single" w:color="000000" w:sz="6" w:space="0"/>
              <w:left w:val="single" w:color="000000" w:sz="6" w:space="0"/>
              <w:bottom w:val="single" w:color="000000" w:sz="12" w:space="0"/>
              <w:right w:val="single" w:color="000000" w:sz="6" w:space="0"/>
            </w:tcBorders>
            <w:noWrap w:val="0"/>
            <w:vAlign w:val="center"/>
          </w:tcPr>
          <w:p>
            <w:pPr>
              <w:widowControl/>
              <w:autoSpaceDE/>
              <w:autoSpaceDN/>
              <w:spacing w:before="0" w:after="0" w:line="240" w:lineRule="auto"/>
              <w:ind w:left="0" w:right="0"/>
              <w:jc w:val="center"/>
              <w:rPr>
                <w:rFonts w:hint="default" w:ascii="仿宋" w:hAnsi="仿宋" w:eastAsia="仿宋" w:cs="仿宋"/>
                <w:color w:val="auto"/>
                <w:sz w:val="24"/>
                <w:szCs w:val="24"/>
                <w:lang w:val="en-US" w:eastAsia="zh-CN" w:bidi="ar-SA"/>
              </w:rPr>
            </w:pPr>
            <w:r>
              <w:rPr>
                <w:rFonts w:hint="eastAsia" w:ascii="仿宋" w:hAnsi="仿宋" w:eastAsia="仿宋" w:cs="仿宋"/>
                <w:color w:val="auto"/>
                <w:sz w:val="24"/>
                <w:szCs w:val="24"/>
                <w:lang w:val="en-US" w:eastAsia="zh-CN" w:bidi="ar-SA"/>
              </w:rPr>
              <w:t>10.5</w:t>
            </w:r>
          </w:p>
        </w:tc>
        <w:tc>
          <w:tcPr>
            <w:tcW w:w="3311" w:type="dxa"/>
            <w:tcBorders>
              <w:top w:val="single" w:color="000000" w:sz="6" w:space="0"/>
              <w:left w:val="single" w:color="000000" w:sz="6" w:space="0"/>
              <w:bottom w:val="single" w:color="000000" w:sz="12" w:space="0"/>
              <w:right w:val="single" w:color="000000" w:sz="12" w:space="0"/>
            </w:tcBorders>
            <w:noWrap w:val="0"/>
            <w:vAlign w:val="center"/>
          </w:tcPr>
          <w:p>
            <w:pPr>
              <w:widowControl/>
              <w:autoSpaceDE/>
              <w:autoSpaceDN/>
              <w:spacing w:before="0" w:after="0" w:line="240" w:lineRule="auto"/>
              <w:ind w:left="0" w:right="0"/>
              <w:jc w:val="center"/>
              <w:rPr>
                <w:rFonts w:hint="eastAsia" w:ascii="仿宋" w:hAnsi="仿宋" w:eastAsia="仿宋" w:cs="仿宋"/>
                <w:color w:val="auto"/>
                <w:sz w:val="24"/>
                <w:szCs w:val="24"/>
                <w:lang w:val="en-US" w:bidi="ar-SA"/>
              </w:rPr>
            </w:pPr>
            <w:r>
              <w:rPr>
                <w:rFonts w:hint="eastAsia" w:ascii="仿宋" w:hAnsi="仿宋" w:eastAsia="仿宋" w:cs="仿宋"/>
                <w:color w:val="auto"/>
                <w:sz w:val="24"/>
                <w:szCs w:val="24"/>
                <w:lang w:val="en-US" w:bidi="ar-SA"/>
              </w:rPr>
              <w:t>吸附材料布放和回收船</w:t>
            </w:r>
          </w:p>
        </w:tc>
      </w:tr>
    </w:tbl>
    <w:p>
      <w:pPr>
        <w:keepLines w:val="0"/>
        <w:pageBreakBefore w:val="0"/>
        <w:widowControl/>
        <w:kinsoku/>
        <w:wordWrap/>
        <w:overflowPunct/>
        <w:topLinePunct w:val="0"/>
        <w:autoSpaceDE/>
        <w:autoSpaceDN/>
        <w:bidi w:val="0"/>
        <w:adjustRightInd/>
        <w:snapToGrid/>
        <w:spacing w:line="360" w:lineRule="auto"/>
        <w:jc w:val="both"/>
        <w:textAlignment w:val="auto"/>
        <w:rPr>
          <w:rFonts w:hint="eastAsia" w:ascii="仿宋" w:hAnsi="仿宋" w:eastAsia="仿宋" w:cs="仿宋"/>
          <w:color w:val="auto"/>
          <w:sz w:val="28"/>
          <w:szCs w:val="28"/>
        </w:rPr>
      </w:pP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从船舶上布放，围油栏存放并固定在船舶甲板上。使用船舶布放围油栏应遵循下列几个步骤：</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1）拖带船舶的选择。布放围油栏时，正确选择拖带船舶，也是实现有效围控的关键。拖带船的选择，一般可按每200（牛顿）拖带力相当于船内发动机1个标注额定马力来计算。例如单船拖带具有20000（牛顿）阻力的围油栏，必须选用一艘具有100马力以上的拖带船。如采用双船进行U形拖带具有40000（牛顿）阻力的围油栏，必须选用两艘都具有1000马力以上的拖带船。</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2）布放方案的确定。主拖船负责围油栏的具体布放和操作，其它辅助船服从主拖船的统一指挥。主、辅助拖船上的作业人员一定要事先确定，具有布放围油栏的实践经验和操作能力，并保持通讯畅通。</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3）布放前的准备。将围油栏等相关设备系固在船舶的甲板上。如果布放船甲板上没有围油栏加固点。应设置加固设备，以防围油栏操作过程中被意外拖进水中。</w:t>
      </w:r>
    </w:p>
    <w:p>
      <w:pPr>
        <w:keepLines w:val="0"/>
        <w:pageBreakBefore w:val="0"/>
        <w:widowControl/>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使用栅栏式围油栏和固体浮子式围油栏，围油栏储存装置可以放在船舶尾部。</w:t>
      </w:r>
    </w:p>
    <w:p>
      <w:pPr>
        <w:keepLines w:val="0"/>
        <w:pageBreakBefore w:val="0"/>
        <w:widowControl/>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使用充气式围油栏，其储存装置和船尾之间通常需要较大的甲板空间，便于布放操作。所需甲板空间取决于围油栏单个气室的长度，通常为5-6 m。</w:t>
      </w:r>
    </w:p>
    <w:p>
      <w:pPr>
        <w:keepLines w:val="0"/>
        <w:pageBreakBefore w:val="0"/>
        <w:widowControl/>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最后将拖带设备与围油栏本体系牢。布放带有配重链的围油栏时，应将拖带设备与配重链连接，在布放前一定要检查这种连接。</w:t>
      </w:r>
    </w:p>
    <w:p>
      <w:pPr>
        <w:keepLines w:val="0"/>
        <w:pageBreakBefore w:val="0"/>
        <w:widowControl/>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4）布放。在开始布放围油栏过程中，布放船应慢速航行。待围油栏放出10至20 m后，再稍微加大船速，通过水对围油栏的阻力作用将剩余的围油栏拖出。在不围油的情况下，围油栏的直线拖带速度，一般为5 kn左右，破断拉力强的围油栏直线拖带速度可达7-8 kn，但不超过10 kn，曲线拖带速度为3-4 kn，U形拖带速度小于2 kn。拖带时，应防止将围油栏和拖带设备缠入螺旋桨内。</w:t>
      </w:r>
    </w:p>
    <w:p>
      <w:pPr>
        <w:keepLines w:val="0"/>
        <w:pageBreakBefore w:val="0"/>
        <w:widowControl/>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该法不需要辅助船，使用辅助船舶可以使布放操作更加容易和安全。使用辅助船舶时，两船应保持通讯联系，以避免发生事故。</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如果布放固体浮子式围油栏，不需要做任何其它操作，可以立即布放。</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当甲板上储有多个围油栏，应放在船舶的一侧，以便于围油栏间的相互连接。布放时先从船舶尾部的围油栏开始，然后布放紧连在一起的围油栏。</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如果布放充气式围油栏，要使用充气机充气，绞车应慢速转动。当围油栏布放到最后几节时，应谨慎操作，避免围油栏船上的一端落入水中。</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围油栏的拖绳一定要事先与船舶甲板连接牢固。当布放围油栏最后一节时，先布放自由漂浮的拖绳，然后将围油栏的拖绳系固在缆桩上或类似物体上，并系牢在辅助拖船上。这时布放成型的围油栏便可开始围控作业。</w:t>
      </w:r>
    </w:p>
    <w:p>
      <w:pPr>
        <w:keepLines w:val="0"/>
        <w:pageBreakBefore w:val="0"/>
        <w:widowControl/>
        <w:kinsoku/>
        <w:wordWrap/>
        <w:overflowPunct/>
        <w:topLinePunct w:val="0"/>
        <w:autoSpaceDE/>
        <w:autoSpaceDN/>
        <w:bidi w:val="0"/>
        <w:adjustRightInd/>
        <w:snapToGrid/>
        <w:spacing w:line="360" w:lineRule="auto"/>
        <w:ind w:left="0" w:leftChars="0"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lang w:val="en-US" w:eastAsia="zh-CN"/>
        </w:rPr>
        <w:t xml:space="preserve">6.1.6.2 </w:t>
      </w:r>
      <w:r>
        <w:rPr>
          <w:rFonts w:hint="eastAsia" w:ascii="仿宋" w:hAnsi="仿宋" w:eastAsia="仿宋" w:cs="仿宋"/>
          <w:b/>
          <w:color w:val="auto"/>
          <w:sz w:val="28"/>
          <w:szCs w:val="28"/>
        </w:rPr>
        <w:t>从岸上布放</w:t>
      </w:r>
    </w:p>
    <w:p>
      <w:pPr>
        <w:keepLines w:val="0"/>
        <w:pageBreakBefore w:val="0"/>
        <w:widowControl/>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从岸上布放围油栏与从船舶上布放围油栏相比更为复杂。事先选择好布放围油栏的地点。利用船舶将围油栏逆流从岸上拖入水中，并围控成需要的形状。</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布放围油栏的程序基本与从船舶布放围油栏的程序相同，不同的是需要一艘辅助船舶。岸线上有一人进行指挥并与船舶保持联系。</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当围油栏的一端固定在岸上时，辅助船舶拖带围油栏并保持围油栏处于正确的位置。在流速非常急（3-6 kn）的近岸区域，布放200 m的围油栏需要动力大的船舶来保持围油栏的正确位置。</w:t>
      </w:r>
    </w:p>
    <w:p>
      <w:pPr>
        <w:keepLines w:val="0"/>
        <w:pageBreakBefore w:val="0"/>
        <w:widowControl/>
        <w:kinsoku/>
        <w:wordWrap/>
        <w:overflowPunct/>
        <w:topLinePunct w:val="0"/>
        <w:autoSpaceDE/>
        <w:autoSpaceDN/>
        <w:bidi w:val="0"/>
        <w:adjustRightInd/>
        <w:snapToGrid/>
        <w:spacing w:line="360" w:lineRule="auto"/>
        <w:ind w:left="0" w:lef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在具有潮汐变化大的码头区域，还应考虑潮差。</w:t>
      </w:r>
    </w:p>
    <w:p>
      <w:pPr>
        <w:pStyle w:val="26"/>
        <w:keepLines w:val="0"/>
        <w:pageBreakBefore w:val="0"/>
        <w:widowControl/>
        <w:kinsoku/>
        <w:wordWrap/>
        <w:overflowPunct/>
        <w:topLinePunct w:val="0"/>
        <w:autoSpaceDE/>
        <w:autoSpaceDN/>
        <w:bidi w:val="0"/>
        <w:adjustRightInd/>
        <w:snapToGrid/>
        <w:spacing w:before="0" w:after="0" w:line="360" w:lineRule="auto"/>
        <w:ind w:left="0" w:leftChars="0" w:firstLine="562" w:firstLineChars="200"/>
        <w:jc w:val="both"/>
        <w:textAlignment w:val="auto"/>
        <w:rPr>
          <w:rFonts w:hint="eastAsia" w:ascii="仿宋" w:hAnsi="仿宋" w:eastAsia="仿宋" w:cs="仿宋"/>
          <w:color w:val="auto"/>
          <w:sz w:val="28"/>
          <w:szCs w:val="28"/>
        </w:rPr>
      </w:pPr>
      <w:bookmarkStart w:id="71" w:name="_Toc5375"/>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.1.7</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围油栏用锚</w:t>
      </w:r>
      <w:bookmarkEnd w:id="71"/>
    </w:p>
    <w:p>
      <w:pPr>
        <w:spacing w:line="360" w:lineRule="auto"/>
        <w:ind w:firstLine="560" w:firstLineChars="200"/>
        <w:jc w:val="both"/>
        <w:rPr>
          <w:rFonts w:hint="eastAsia" w:ascii="仿宋" w:hAnsi="仿宋" w:eastAsia="仿宋" w:cs="仿宋"/>
          <w:b/>
          <w:color w:val="auto"/>
          <w:sz w:val="28"/>
          <w:szCs w:val="28"/>
        </w:rPr>
      </w:pPr>
      <w:r>
        <w:rPr>
          <w:rFonts w:hint="eastAsia" w:ascii="仿宋" w:hAnsi="仿宋" w:eastAsia="仿宋" w:cs="仿宋"/>
          <w:color w:val="auto"/>
          <w:sz w:val="28"/>
          <w:szCs w:val="28"/>
        </w:rPr>
        <w:t>围油栏的各种布放形式中，由于风、流等诸多因素的影响，围油栏很难保持预定的形状，实现围控溢油的作用。考虑到用船舶保持围油栏的布放形状费用很高，本公司使用锚固定围油栏。因此，在围控比较固定的溢油源情况下，用锚来保持围油栏的围控形状。详见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5</w:t>
      </w:r>
      <w:r>
        <w:rPr>
          <w:rFonts w:hint="eastAsia" w:ascii="仿宋" w:hAnsi="仿宋" w:eastAsia="仿宋" w:cs="仿宋"/>
          <w:color w:val="auto"/>
          <w:sz w:val="28"/>
          <w:szCs w:val="28"/>
          <w:lang w:eastAsia="zh-CN"/>
        </w:rPr>
        <w:t>。</w:t>
      </w:r>
    </w:p>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-5 本公司围油栏配套的锚情况表</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118"/>
        <w:gridCol w:w="1886"/>
        <w:gridCol w:w="1886"/>
        <w:gridCol w:w="311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183"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序号</w:t>
            </w:r>
          </w:p>
        </w:tc>
        <w:tc>
          <w:tcPr>
            <w:tcW w:w="1943"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备件名称</w:t>
            </w:r>
          </w:p>
        </w:tc>
        <w:tc>
          <w:tcPr>
            <w:tcW w:w="1943"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数量</w:t>
            </w:r>
          </w:p>
        </w:tc>
        <w:tc>
          <w:tcPr>
            <w:tcW w:w="3217"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18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194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锚25kg</w:t>
            </w:r>
          </w:p>
        </w:tc>
        <w:tc>
          <w:tcPr>
            <w:tcW w:w="1943" w:type="dxa"/>
            <w:tcBorders>
              <w:tl2br w:val="nil"/>
              <w:tr2bl w:val="nil"/>
            </w:tcBorders>
            <w:noWrap w:val="0"/>
            <w:vAlign w:val="center"/>
          </w:tcPr>
          <w:p>
            <w:pPr>
              <w:spacing w:line="240" w:lineRule="auto"/>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5</w:t>
            </w:r>
          </w:p>
        </w:tc>
        <w:tc>
          <w:tcPr>
            <w:tcW w:w="3217"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18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194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锚50kg</w:t>
            </w:r>
          </w:p>
        </w:tc>
        <w:tc>
          <w:tcPr>
            <w:tcW w:w="1943" w:type="dxa"/>
            <w:tcBorders>
              <w:tl2br w:val="nil"/>
              <w:tr2bl w:val="nil"/>
            </w:tcBorders>
            <w:noWrap w:val="0"/>
            <w:vAlign w:val="center"/>
          </w:tcPr>
          <w:p>
            <w:pPr>
              <w:spacing w:line="240" w:lineRule="auto"/>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5</w:t>
            </w:r>
          </w:p>
        </w:tc>
        <w:tc>
          <w:tcPr>
            <w:tcW w:w="3217"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18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3</w:t>
            </w:r>
          </w:p>
        </w:tc>
        <w:tc>
          <w:tcPr>
            <w:tcW w:w="194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锚7</w:t>
            </w:r>
            <w:r>
              <w:rPr>
                <w:rFonts w:hint="eastAsia" w:ascii="仿宋" w:hAnsi="仿宋" w:eastAsia="仿宋" w:cs="仿宋"/>
                <w:color w:val="auto"/>
                <w:sz w:val="24"/>
                <w:szCs w:val="24"/>
                <w:lang w:val="en-US" w:eastAsia="zh-CN"/>
              </w:rPr>
              <w:t>5</w:t>
            </w:r>
            <w:r>
              <w:rPr>
                <w:rFonts w:hint="eastAsia" w:ascii="仿宋" w:hAnsi="仿宋" w:eastAsia="仿宋" w:cs="仿宋"/>
                <w:color w:val="auto"/>
                <w:sz w:val="24"/>
                <w:szCs w:val="24"/>
              </w:rPr>
              <w:t>kg</w:t>
            </w:r>
          </w:p>
        </w:tc>
        <w:tc>
          <w:tcPr>
            <w:tcW w:w="1943" w:type="dxa"/>
            <w:tcBorders>
              <w:tl2br w:val="nil"/>
              <w:tr2bl w:val="nil"/>
            </w:tcBorders>
            <w:noWrap w:val="0"/>
            <w:vAlign w:val="center"/>
          </w:tcPr>
          <w:p>
            <w:pPr>
              <w:spacing w:line="240" w:lineRule="auto"/>
              <w:jc w:val="center"/>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20</w:t>
            </w:r>
          </w:p>
        </w:tc>
        <w:tc>
          <w:tcPr>
            <w:tcW w:w="3217"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18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4</w:t>
            </w:r>
          </w:p>
        </w:tc>
        <w:tc>
          <w:tcPr>
            <w:tcW w:w="194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浮球</w:t>
            </w:r>
          </w:p>
        </w:tc>
        <w:tc>
          <w:tcPr>
            <w:tcW w:w="1943" w:type="dxa"/>
            <w:tcBorders>
              <w:tl2br w:val="nil"/>
              <w:tr2bl w:val="nil"/>
            </w:tcBorders>
            <w:noWrap w:val="0"/>
            <w:vAlign w:val="center"/>
          </w:tcPr>
          <w:p>
            <w:pPr>
              <w:spacing w:line="240" w:lineRule="auto"/>
              <w:jc w:val="center"/>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20</w:t>
            </w:r>
          </w:p>
        </w:tc>
        <w:tc>
          <w:tcPr>
            <w:tcW w:w="3217"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18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5</w:t>
            </w:r>
          </w:p>
        </w:tc>
        <w:tc>
          <w:tcPr>
            <w:tcW w:w="1943" w:type="dxa"/>
            <w:tcBorders>
              <w:tl2br w:val="nil"/>
              <w:tr2bl w:val="nil"/>
            </w:tcBorders>
            <w:noWrap w:val="0"/>
            <w:vAlign w:val="center"/>
          </w:tcPr>
          <w:p>
            <w:pPr>
              <w:spacing w:line="240" w:lineRule="auto"/>
              <w:jc w:val="center"/>
              <w:rPr>
                <w:rFonts w:hint="eastAsia" w:ascii="仿宋" w:hAnsi="仿宋" w:eastAsia="仿宋" w:cs="仿宋"/>
                <w:color w:val="auto"/>
                <w:sz w:val="24"/>
                <w:szCs w:val="24"/>
                <w:lang w:eastAsia="zh-CN"/>
              </w:rPr>
            </w:pPr>
            <w:r>
              <w:rPr>
                <w:rFonts w:hint="eastAsia" w:ascii="仿宋" w:hAnsi="仿宋" w:eastAsia="仿宋" w:cs="仿宋"/>
                <w:color w:val="auto"/>
                <w:sz w:val="24"/>
                <w:szCs w:val="24"/>
              </w:rPr>
              <w:t>锚链</w:t>
            </w:r>
            <w:r>
              <w:rPr>
                <w:rFonts w:hint="eastAsia" w:ascii="仿宋" w:hAnsi="仿宋" w:eastAsia="仿宋" w:cs="仿宋"/>
                <w:color w:val="auto"/>
                <w:sz w:val="24"/>
                <w:szCs w:val="24"/>
                <w:lang w:eastAsia="zh-CN"/>
              </w:rPr>
              <w:t>或锚绳</w:t>
            </w:r>
          </w:p>
        </w:tc>
        <w:tc>
          <w:tcPr>
            <w:tcW w:w="1943" w:type="dxa"/>
            <w:tcBorders>
              <w:tl2br w:val="nil"/>
              <w:tr2bl w:val="nil"/>
            </w:tcBorders>
            <w:noWrap w:val="0"/>
            <w:vAlign w:val="center"/>
          </w:tcPr>
          <w:p>
            <w:pPr>
              <w:spacing w:line="240" w:lineRule="auto"/>
              <w:jc w:val="center"/>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500</w:t>
            </w:r>
          </w:p>
        </w:tc>
        <w:tc>
          <w:tcPr>
            <w:tcW w:w="3217"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p>
        </w:tc>
      </w:tr>
    </w:tbl>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用锚时，首先掌握海底结构（沙、石或岩石）、流向、流速和水深等有关情况，以保证锚的效用和安全。锚的使用有两种情况：</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（1）如果围油栏布放水域的流向为单向，锚必须放在围油栏面向流向的一侧；</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（2）如果流向变化，如潮间带，围油栏两侧都要设锚。多数围油栏都有挂锚座或可供连接锚的围油栏接头。</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锚的使用数量和大小取决于作用在围油栏上的力（风、流、波浪）、流向、围油栏的长度、船舶大小等因素。一般情况下，浮子式围油栏（高度为1.2 m左右）40-80 m抛一个或两个锚。充气式围油栏（高度为2 m）100 m可以抛2-4个锚。</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按照JT/T465-2001《围油栏》对围油栏用锚的要求，使用人工投放和回收锚，其单锚重量不宜超过150 kg。锚的类型可以是大抓力锚、渔具锚或燕尾锚、海军锚、丹福斯锚、四爪锚、单臂锚。通常使用20-100 kg的有提升装置的锚。</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锚的抓力主要取决于锚杆与海底的角度，最适宜的角度为0度，如果锚杆被提起超过10％，锚的抓力明显减少。用锚链与锚杆连接可以减少锚杆的移动，同样，使用系锚球可以防止锚杆被提起，系锚球能够在围油栏与锚绳之间形成一定角度，这个角度能够减少围油栏系统移动对锚系统造成的影响，如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-4所示。</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b/>
          <w:color w:val="auto"/>
          <w:sz w:val="28"/>
          <w:szCs w:val="28"/>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2974340" cy="1447800"/>
            <wp:effectExtent l="0" t="0" r="16510" b="0"/>
            <wp:docPr id="14" name="图片 14" descr="图片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片11"/>
                    <pic:cNvPicPr>
                      <a:picLocks noChangeAspect="1"/>
                    </pic:cNvPicPr>
                  </pic:nvPicPr>
                  <pic:blipFill>
                    <a:blip r:embed="rId19"/>
                    <a:stretch>
                      <a:fillRect/>
                    </a:stretch>
                  </pic:blipFill>
                  <pic:spPr>
                    <a:xfrm>
                      <a:off x="0" y="0"/>
                      <a:ext cx="2974340" cy="1447800"/>
                    </a:xfrm>
                    <a:prstGeom prst="rect">
                      <a:avLst/>
                    </a:prstGeom>
                  </pic:spPr>
                </pic:pic>
              </a:graphicData>
            </a:graphic>
          </wp:inline>
        </w:drawing>
      </w:r>
    </w:p>
    <w:p>
      <w:pPr>
        <w:spacing w:line="480" w:lineRule="exact"/>
        <w:jc w:val="center"/>
        <w:rPr>
          <w:rFonts w:hint="eastAsia" w:ascii="仿宋" w:hAnsi="仿宋" w:eastAsia="仿宋" w:cs="仿宋"/>
          <w:b/>
          <w:color w:val="auto"/>
          <w:sz w:val="24"/>
          <w:szCs w:val="24"/>
          <w:lang w:val="en-US" w:eastAsia="zh-CN"/>
        </w:rPr>
      </w:pPr>
      <w:r>
        <w:rPr>
          <w:rFonts w:hint="eastAsia" w:ascii="仿宋" w:hAnsi="仿宋" w:eastAsia="仿宋" w:cs="仿宋"/>
          <w:b/>
          <w:color w:val="auto"/>
          <w:sz w:val="24"/>
          <w:szCs w:val="24"/>
          <w:lang w:val="en-US" w:eastAsia="zh-CN"/>
        </w:rPr>
        <w:t>图6-4 围油栏用锚的布放形式</w:t>
      </w:r>
    </w:p>
    <w:p>
      <w:pPr>
        <w:pStyle w:val="7"/>
        <w:spacing w:before="12"/>
        <w:rPr>
          <w:rFonts w:hint="eastAsia" w:ascii="仿宋" w:hAnsi="仿宋" w:eastAsia="仿宋" w:cs="仿宋"/>
          <w:b/>
          <w:color w:val="auto"/>
          <w:sz w:val="28"/>
          <w:szCs w:val="28"/>
        </w:rPr>
      </w:pP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为防止因波浪作用将锚提起，连接锚和系锚球的绳子长度至少应是水深的3倍，不同海况下的锚绳长度：</w:t>
      </w:r>
    </w:p>
    <w:p>
      <w:pPr>
        <w:keepLines w:val="0"/>
        <w:pageBreakBefore w:val="0"/>
        <w:widowControl w:val="0"/>
        <w:numPr>
          <w:ilvl w:val="3"/>
          <w:numId w:val="3"/>
        </w:numPr>
        <w:tabs>
          <w:tab w:val="left" w:pos="900"/>
          <w:tab w:val="clear" w:pos="1620"/>
        </w:tabs>
        <w:kinsoku/>
        <w:wordWrap/>
        <w:overflowPunct/>
        <w:topLinePunct w:val="0"/>
        <w:autoSpaceDE/>
        <w:autoSpaceDN/>
        <w:bidi w:val="0"/>
        <w:adjustRightInd/>
        <w:snapToGrid/>
        <w:spacing w:line="360" w:lineRule="auto"/>
        <w:ind w:hanging="108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一般海况，锚绳长度是水深的5倍；</w:t>
      </w:r>
    </w:p>
    <w:p>
      <w:pPr>
        <w:keepLines w:val="0"/>
        <w:pageBreakBefore w:val="0"/>
        <w:widowControl w:val="0"/>
        <w:numPr>
          <w:ilvl w:val="3"/>
          <w:numId w:val="3"/>
        </w:numPr>
        <w:tabs>
          <w:tab w:val="left" w:pos="900"/>
          <w:tab w:val="clear" w:pos="1620"/>
        </w:tabs>
        <w:kinsoku/>
        <w:wordWrap/>
        <w:overflowPunct/>
        <w:topLinePunct w:val="0"/>
        <w:autoSpaceDE/>
        <w:autoSpaceDN/>
        <w:bidi w:val="0"/>
        <w:adjustRightInd/>
        <w:snapToGrid/>
        <w:spacing w:line="360" w:lineRule="auto"/>
        <w:ind w:hanging="108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平静水域，锚绳长度是水深的3倍；</w:t>
      </w:r>
    </w:p>
    <w:p>
      <w:pPr>
        <w:keepLines w:val="0"/>
        <w:pageBreakBefore w:val="0"/>
        <w:widowControl w:val="0"/>
        <w:numPr>
          <w:ilvl w:val="3"/>
          <w:numId w:val="3"/>
        </w:numPr>
        <w:tabs>
          <w:tab w:val="left" w:pos="900"/>
          <w:tab w:val="clear" w:pos="1620"/>
        </w:tabs>
        <w:kinsoku/>
        <w:wordWrap/>
        <w:overflowPunct/>
        <w:topLinePunct w:val="0"/>
        <w:autoSpaceDE/>
        <w:autoSpaceDN/>
        <w:bidi w:val="0"/>
        <w:adjustRightInd/>
        <w:snapToGrid/>
        <w:spacing w:line="360" w:lineRule="auto"/>
        <w:ind w:hanging="108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恶劣海况下，锚绳长度是水深的7倍。</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系锚球的大小由锚的重量决定，通常系锚球的体积为60至250 L。从安全角度考虑，为防止回收锚时间过长而影响围油栏的快速移动，通常在系锚球与围油栏之间使用快速释放装置，如卸扣。</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锚的使用过程中，有可能出现锚绳断开或被卡住的情况。为了便于回收锚，通常用抛锚浮子标示锚的位置；当锚被卡住时，借助抛锚浮子通过提锚绳从相反方向回收锚。锚与抛锚浮子之间的绳子长度应至少是水深的2倍。</w:t>
      </w:r>
    </w:p>
    <w:p>
      <w:pPr>
        <w:pStyle w:val="26"/>
        <w:keepLines w:val="0"/>
        <w:pageBreakBefore w:val="0"/>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bookmarkStart w:id="72" w:name="_Toc17139"/>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.1.8</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围油栏失效</w:t>
      </w:r>
      <w:bookmarkEnd w:id="72"/>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本公司依照应急领导小组的决策，迅速到达围控点采取围控行动，并密切关注围控的有效性。</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围控失效主要表现为：携带逃逸、泄漏、飞溅、围油栏倾倒、围油栏沉没、围油栏结构损坏等。</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一旦发生围控失效，现场作业小组马上报告应急领导小组，填报围控失效报告信息表（见附表2），同时分析、查找围控失效原因。由应急小组决定如何采取进一步的措施。现场围控小组和应急领导组之间，要保持通信、交流合作，为进一步围控的有效性提供重要依据。</w:t>
      </w:r>
    </w:p>
    <w:p>
      <w:pPr>
        <w:spacing w:line="360" w:lineRule="auto"/>
        <w:ind w:firstLine="562" w:firstLineChars="200"/>
        <w:jc w:val="both"/>
        <w:outlineLvl w:val="1"/>
        <w:rPr>
          <w:rFonts w:hint="eastAsia" w:ascii="仿宋" w:hAnsi="仿宋" w:eastAsia="仿宋" w:cs="仿宋"/>
          <w:b/>
          <w:bCs/>
          <w:color w:val="auto"/>
          <w:sz w:val="28"/>
          <w:szCs w:val="28"/>
        </w:rPr>
      </w:pPr>
      <w:bookmarkStart w:id="73" w:name="_Toc15441"/>
      <w:bookmarkStart w:id="74" w:name="_Toc28150"/>
      <w:bookmarkStart w:id="75" w:name="_Toc7558"/>
      <w:r>
        <w:rPr>
          <w:rFonts w:hint="eastAsia" w:ascii="仿宋" w:hAnsi="仿宋" w:eastAsia="仿宋" w:cs="仿宋"/>
          <w:b/>
          <w:bCs/>
          <w:color w:val="auto"/>
          <w:sz w:val="28"/>
          <w:szCs w:val="28"/>
          <w:lang w:val="en-US" w:eastAsia="zh-CN"/>
        </w:rPr>
        <w:t>6</w:t>
      </w:r>
      <w:r>
        <w:rPr>
          <w:rFonts w:hint="eastAsia" w:ascii="仿宋" w:hAnsi="仿宋" w:eastAsia="仿宋" w:cs="仿宋"/>
          <w:b/>
          <w:bCs/>
          <w:color w:val="auto"/>
          <w:sz w:val="28"/>
          <w:szCs w:val="28"/>
        </w:rPr>
        <w:t>.2</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海上回收和溢油清除方案</w:t>
      </w:r>
      <w:bookmarkEnd w:id="73"/>
      <w:bookmarkEnd w:id="74"/>
      <w:bookmarkEnd w:id="75"/>
    </w:p>
    <w:p>
      <w:pPr>
        <w:spacing w:line="360" w:lineRule="auto"/>
        <w:ind w:firstLine="562" w:firstLineChars="200"/>
        <w:jc w:val="both"/>
        <w:rPr>
          <w:rFonts w:hint="eastAsia" w:ascii="仿宋" w:hAnsi="仿宋" w:eastAsia="仿宋" w:cs="仿宋"/>
          <w:b/>
          <w:bCs/>
          <w:color w:val="auto"/>
          <w:sz w:val="28"/>
          <w:szCs w:val="28"/>
        </w:rPr>
      </w:pPr>
      <w:bookmarkStart w:id="76" w:name="_Toc16627"/>
      <w:r>
        <w:rPr>
          <w:rFonts w:hint="eastAsia" w:ascii="仿宋" w:hAnsi="仿宋" w:eastAsia="仿宋" w:cs="仿宋"/>
          <w:b/>
          <w:bCs/>
          <w:color w:val="auto"/>
          <w:sz w:val="28"/>
          <w:szCs w:val="28"/>
          <w:lang w:val="en-US" w:eastAsia="zh-CN"/>
        </w:rPr>
        <w:t>6</w:t>
      </w:r>
      <w:r>
        <w:rPr>
          <w:rFonts w:hint="eastAsia" w:ascii="仿宋" w:hAnsi="仿宋" w:eastAsia="仿宋" w:cs="仿宋"/>
          <w:b/>
          <w:bCs/>
          <w:color w:val="auto"/>
          <w:sz w:val="28"/>
          <w:szCs w:val="28"/>
        </w:rPr>
        <w:t>.2.1</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机械清除海上溢油</w:t>
      </w:r>
      <w:bookmarkEnd w:id="76"/>
    </w:p>
    <w:p>
      <w:pPr>
        <w:spacing w:line="360" w:lineRule="auto"/>
        <w:ind w:firstLine="562" w:firstLineChars="200"/>
        <w:jc w:val="both"/>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6.2.1.1 </w:t>
      </w:r>
      <w:r>
        <w:rPr>
          <w:rFonts w:hint="eastAsia" w:ascii="仿宋" w:hAnsi="仿宋" w:eastAsia="仿宋" w:cs="仿宋"/>
          <w:b/>
          <w:bCs/>
          <w:color w:val="auto"/>
          <w:sz w:val="28"/>
          <w:szCs w:val="28"/>
        </w:rPr>
        <w:t>本公司收油机配备情况</w:t>
      </w:r>
    </w:p>
    <w:p>
      <w:pPr>
        <w:keepLines w:val="0"/>
        <w:pageBreakBefore w:val="0"/>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本公司机械清除海上溢油的设备主要为收油机，包括转盘式收油机2台和动态斜面收油机</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rPr>
        <w:t>台</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详见表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-6</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w:t>
      </w:r>
    </w:p>
    <w:p>
      <w:pPr>
        <w:keepLines w:val="0"/>
        <w:pageBreakBefore w:val="0"/>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-6 本公司收油机</w:t>
      </w:r>
      <w:r>
        <w:rPr>
          <w:rFonts w:hint="eastAsia" w:ascii="仿宋" w:hAnsi="仿宋" w:eastAsia="仿宋" w:cs="仿宋"/>
          <w:b/>
          <w:color w:val="auto"/>
          <w:sz w:val="28"/>
          <w:szCs w:val="28"/>
          <w:lang w:eastAsia="zh-CN"/>
        </w:rPr>
        <w:t>配备</w:t>
      </w:r>
      <w:r>
        <w:rPr>
          <w:rFonts w:hint="eastAsia" w:ascii="仿宋" w:hAnsi="仿宋" w:eastAsia="仿宋" w:cs="仿宋"/>
          <w:b/>
          <w:color w:val="auto"/>
          <w:sz w:val="28"/>
          <w:szCs w:val="28"/>
        </w:rPr>
        <w:t>情况表</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53"/>
        <w:gridCol w:w="1062"/>
        <w:gridCol w:w="1078"/>
        <w:gridCol w:w="833"/>
        <w:gridCol w:w="857"/>
        <w:gridCol w:w="432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83"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序号</w:t>
            </w:r>
          </w:p>
        </w:tc>
        <w:tc>
          <w:tcPr>
            <w:tcW w:w="975"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名称</w:t>
            </w:r>
          </w:p>
        </w:tc>
        <w:tc>
          <w:tcPr>
            <w:tcW w:w="990"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型号</w:t>
            </w:r>
          </w:p>
        </w:tc>
        <w:tc>
          <w:tcPr>
            <w:tcW w:w="765"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数量</w:t>
            </w:r>
          </w:p>
        </w:tc>
        <w:tc>
          <w:tcPr>
            <w:tcW w:w="787"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生产</w:t>
            </w:r>
          </w:p>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厂家</w:t>
            </w:r>
          </w:p>
        </w:tc>
        <w:tc>
          <w:tcPr>
            <w:tcW w:w="3969"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性能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78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975" w:type="dxa"/>
            <w:tcBorders>
              <w:tl2br w:val="nil"/>
              <w:tr2bl w:val="nil"/>
            </w:tcBorders>
            <w:noWrap w:val="0"/>
            <w:vAlign w:val="center"/>
          </w:tcPr>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转盘式</w:t>
            </w:r>
          </w:p>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收油机</w:t>
            </w:r>
          </w:p>
        </w:tc>
        <w:tc>
          <w:tcPr>
            <w:tcW w:w="99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ZSJ50</w:t>
            </w:r>
          </w:p>
        </w:tc>
        <w:tc>
          <w:tcPr>
            <w:tcW w:w="76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2台</w:t>
            </w:r>
          </w:p>
        </w:tc>
        <w:tc>
          <w:tcPr>
            <w:tcW w:w="787"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w:t>
            </w:r>
          </w:p>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华海</w:t>
            </w:r>
          </w:p>
        </w:tc>
        <w:tc>
          <w:tcPr>
            <w:tcW w:w="3969" w:type="dxa"/>
            <w:tcBorders>
              <w:tl2br w:val="nil"/>
              <w:tr2bl w:val="nil"/>
            </w:tcBorders>
            <w:noWrap w:val="0"/>
            <w:vAlign w:val="center"/>
          </w:tcPr>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可回收燃油、润滑油、原油、植物油等流动油，回收率高，收回油中游离水含量低，收油机吃浅水，具有良好的乘波型，重量轻，易调动。溢油回收能力50m³/h。</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78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975" w:type="dxa"/>
            <w:tcBorders>
              <w:tl2br w:val="nil"/>
              <w:tr2bl w:val="nil"/>
            </w:tcBorders>
            <w:noWrap w:val="0"/>
            <w:vAlign w:val="center"/>
          </w:tcPr>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动态斜面收油机</w:t>
            </w:r>
          </w:p>
        </w:tc>
        <w:tc>
          <w:tcPr>
            <w:tcW w:w="99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DXS150</w:t>
            </w:r>
          </w:p>
        </w:tc>
        <w:tc>
          <w:tcPr>
            <w:tcW w:w="76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台</w:t>
            </w:r>
          </w:p>
        </w:tc>
        <w:tc>
          <w:tcPr>
            <w:tcW w:w="787"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w:t>
            </w:r>
          </w:p>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华海</w:t>
            </w:r>
          </w:p>
        </w:tc>
        <w:tc>
          <w:tcPr>
            <w:tcW w:w="3969" w:type="dxa"/>
            <w:tcBorders>
              <w:tl2br w:val="nil"/>
              <w:tr2bl w:val="nil"/>
            </w:tcBorders>
            <w:noWrap w:val="0"/>
            <w:vAlign w:val="center"/>
          </w:tcPr>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适用于任何黏度的溢油回收。最大溢油回收率150m³/h，有效溢油回收速度1-3节，溢油回收效率接近99%，彻底性效率74</w:t>
            </w:r>
            <w:r>
              <w:rPr>
                <w:rFonts w:hint="eastAsia" w:ascii="仿宋" w:hAnsi="仿宋" w:eastAsia="仿宋" w:cs="仿宋"/>
                <w:color w:val="auto"/>
                <w:sz w:val="24"/>
                <w:szCs w:val="24"/>
                <w:lang w:val="en-US" w:eastAsia="zh-CN"/>
              </w:rPr>
              <w:t>~</w:t>
            </w:r>
            <w:r>
              <w:rPr>
                <w:rFonts w:hint="eastAsia" w:ascii="仿宋" w:hAnsi="仿宋" w:eastAsia="仿宋" w:cs="仿宋"/>
                <w:color w:val="auto"/>
                <w:sz w:val="24"/>
                <w:szCs w:val="24"/>
              </w:rPr>
              <w:t>94%</w:t>
            </w:r>
          </w:p>
        </w:tc>
      </w:tr>
    </w:tbl>
    <w:p>
      <w:pPr>
        <w:spacing w:after="0" w:line="358" w:lineRule="exact"/>
        <w:jc w:val="left"/>
        <w:rPr>
          <w:rFonts w:hint="eastAsia" w:ascii="仿宋" w:hAnsi="仿宋" w:eastAsia="仿宋" w:cs="仿宋"/>
          <w:color w:val="auto"/>
          <w:sz w:val="28"/>
          <w:szCs w:val="28"/>
        </w:rPr>
      </w:pPr>
    </w:p>
    <w:p>
      <w:pPr>
        <w:pStyle w:val="27"/>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 xml:space="preserve">6.2.1.2 </w:t>
      </w:r>
      <w:r>
        <w:rPr>
          <w:rFonts w:hint="eastAsia" w:ascii="仿宋" w:hAnsi="仿宋" w:eastAsia="仿宋" w:cs="仿宋"/>
          <w:color w:val="auto"/>
          <w:sz w:val="28"/>
          <w:szCs w:val="28"/>
        </w:rPr>
        <w:t>溢油回收设备的选用</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选用回收设备首先要考虑水域环境，然后再考虑溢油种类。水域可分为开阔水域、浅水水域和沼泽水域三类。</w:t>
      </w:r>
    </w:p>
    <w:p>
      <w:pPr>
        <w:keepLines w:val="0"/>
        <w:pageBreakBefore w:val="0"/>
        <w:widowControl/>
        <w:kinsoku/>
        <w:wordWrap/>
        <w:overflowPunct/>
        <w:topLinePunct w:val="0"/>
        <w:autoSpaceDE/>
        <w:autoSpaceDN/>
        <w:bidi w:val="0"/>
        <w:adjustRightInd/>
        <w:snapToGrid/>
        <w:spacing w:line="360" w:lineRule="auto"/>
        <w:ind w:firstLine="663" w:firstLineChars="236"/>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lang w:eastAsia="zh-CN"/>
        </w:rPr>
        <w:t>（</w:t>
      </w:r>
      <w:r>
        <w:rPr>
          <w:rFonts w:hint="eastAsia" w:ascii="仿宋" w:hAnsi="仿宋" w:eastAsia="仿宋" w:cs="仿宋"/>
          <w:b/>
          <w:color w:val="auto"/>
          <w:sz w:val="28"/>
          <w:szCs w:val="28"/>
        </w:rPr>
        <w:t>1）开阔水域溢油回收设备的选用</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用于开阔水域的溢油回收设备应具有较好的随波性，便于在船舶等工作平台上操作，以调整溢油回收设备的位置。在开阔水域，本公司选择DXS150动态斜面式收油机进行机械回收作业。收油机2～3小时的回收容量为400～600m</w:t>
      </w:r>
      <w:r>
        <w:rPr>
          <w:rFonts w:hint="eastAsia" w:ascii="仿宋" w:hAnsi="仿宋" w:eastAsia="仿宋" w:cs="仿宋"/>
          <w:color w:val="auto"/>
          <w:sz w:val="28"/>
          <w:szCs w:val="28"/>
          <w:vertAlign w:val="superscript"/>
        </w:rPr>
        <w:t>3</w:t>
      </w:r>
      <w:r>
        <w:rPr>
          <w:rFonts w:hint="eastAsia" w:ascii="仿宋" w:hAnsi="仿宋" w:eastAsia="仿宋" w:cs="仿宋"/>
          <w:color w:val="auto"/>
          <w:sz w:val="28"/>
          <w:szCs w:val="28"/>
        </w:rPr>
        <w:t>，应配套舱容在400 m</w:t>
      </w:r>
      <w:r>
        <w:rPr>
          <w:rFonts w:hint="eastAsia" w:ascii="仿宋" w:hAnsi="仿宋" w:eastAsia="仿宋" w:cs="仿宋"/>
          <w:color w:val="auto"/>
          <w:sz w:val="28"/>
          <w:szCs w:val="28"/>
          <w:vertAlign w:val="superscript"/>
        </w:rPr>
        <w:t>3</w:t>
      </w:r>
      <w:r>
        <w:rPr>
          <w:rFonts w:hint="eastAsia" w:ascii="仿宋" w:hAnsi="仿宋" w:eastAsia="仿宋" w:cs="仿宋"/>
          <w:color w:val="auto"/>
          <w:sz w:val="28"/>
          <w:szCs w:val="28"/>
        </w:rPr>
        <w:t>以上的溢油应急处置船，如“</w:t>
      </w:r>
      <w:r>
        <w:rPr>
          <w:rFonts w:hint="eastAsia" w:ascii="仿宋" w:hAnsi="仿宋" w:eastAsia="仿宋" w:cs="仿宋"/>
          <w:color w:val="auto"/>
          <w:sz w:val="28"/>
          <w:szCs w:val="28"/>
          <w:lang w:eastAsia="zh-CN"/>
        </w:rPr>
        <w:t>众和</w:t>
      </w:r>
      <w:r>
        <w:rPr>
          <w:rFonts w:hint="eastAsia" w:ascii="仿宋" w:hAnsi="仿宋" w:eastAsia="仿宋" w:cs="仿宋"/>
          <w:color w:val="auto"/>
          <w:sz w:val="28"/>
          <w:szCs w:val="28"/>
        </w:rPr>
        <w:t>1”溢油应急处置船。</w:t>
      </w:r>
    </w:p>
    <w:p>
      <w:pPr>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color w:val="auto"/>
          <w:sz w:val="28"/>
          <w:szCs w:val="28"/>
        </w:rPr>
      </w:pPr>
      <w:r>
        <w:rPr>
          <w:rFonts w:hint="eastAsia" w:ascii="仿宋" w:hAnsi="仿宋" w:eastAsia="仿宋" w:cs="仿宋"/>
          <w:b/>
          <w:color w:val="auto"/>
          <w:sz w:val="28"/>
          <w:szCs w:val="28"/>
          <w:lang w:eastAsia="zh-CN"/>
        </w:rPr>
        <w:t>（</w:t>
      </w:r>
      <w:r>
        <w:rPr>
          <w:rFonts w:hint="eastAsia" w:ascii="仿宋" w:hAnsi="仿宋" w:eastAsia="仿宋" w:cs="仿宋"/>
          <w:b/>
          <w:color w:val="auto"/>
          <w:sz w:val="28"/>
          <w:szCs w:val="28"/>
        </w:rPr>
        <w:t>2）浅水区域溢油回收设备的选用</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浅水区域是指近岸、港口、湖泊或河流等水域。用于浅水区域的溢油回收设备应结构简单、操作便利，大型的回收设备是不适用的。选用原则：收油机的尺寸小、吃水浅，结构简单、操作方便，对浅水中的沉积物如沙子、泥沙、淤泥、石头不敏感，适应一定的水流速等布放容易。但是，相对开阔水域的溢油回收设备，回收效率较低。</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本公司在浅水区域选用ZSJ50转盘式收油机。</w:t>
      </w:r>
    </w:p>
    <w:p>
      <w:pPr>
        <w:keepLines w:val="0"/>
        <w:pageBreakBefore w:val="0"/>
        <w:widowControl/>
        <w:kinsoku/>
        <w:wordWrap/>
        <w:overflowPunct/>
        <w:topLinePunct w:val="0"/>
        <w:autoSpaceDE/>
        <w:autoSpaceDN/>
        <w:bidi w:val="0"/>
        <w:adjustRightInd/>
        <w:snapToGrid/>
        <w:spacing w:line="360" w:lineRule="auto"/>
        <w:ind w:firstLine="663" w:firstLineChars="236"/>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lang w:eastAsia="zh-CN"/>
        </w:rPr>
        <w:t>（</w:t>
      </w:r>
      <w:r>
        <w:rPr>
          <w:rFonts w:hint="eastAsia" w:ascii="仿宋" w:hAnsi="仿宋" w:eastAsia="仿宋" w:cs="仿宋"/>
          <w:b/>
          <w:color w:val="auto"/>
          <w:sz w:val="28"/>
          <w:szCs w:val="28"/>
        </w:rPr>
        <w:t>3）岸上溢油回收设备的选用</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处理岸滩上的溢油，应利用岸滩的高度差（斜面），最好的办法是在斜坡的底部挖坑，将溢油导入坑中，再回收溢油，必要时可租用挖掘机或铲斗挖去上层土或沙。为了避免溢油进一步扩散，铺设吸油式围油栏围控溢油，如果溢油不是新鲜的（固化），就要考虑使用高压清洁装置。</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处理沼泽、湿地或泻湖等浅水区域的溢油，采用吸油式围油栏将溢油引导流向收油机，利用ZSJ50</w:t>
      </w:r>
      <w:r>
        <w:rPr>
          <w:rFonts w:hint="eastAsia" w:ascii="仿宋" w:hAnsi="仿宋" w:eastAsia="仿宋" w:cs="仿宋"/>
          <w:sz w:val="28"/>
          <w:szCs w:val="28"/>
          <w:lang w:eastAsia="zh-CN"/>
        </w:rPr>
        <w:t>转</w:t>
      </w:r>
      <w:r>
        <w:rPr>
          <w:rFonts w:hint="eastAsia" w:ascii="仿宋" w:hAnsi="仿宋" w:eastAsia="仿宋" w:cs="仿宋"/>
          <w:sz w:val="28"/>
          <w:szCs w:val="28"/>
        </w:rPr>
        <w:t>盘式收油机回收溢油。选择溢油回收设备应考虑设备对环境的影响，重的设备可能破坏某些敏感区域，如沼泽或浅水区域，就应避免使用机械式收油机。</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在溢油应急行动中，不论溢油种类和发生地点，溢油吸附材料都应经常使用。</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各种收油机适用的水域、油类以及特点，见表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-7与</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-8。</w:t>
      </w:r>
    </w:p>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-7 收油机适用区域、油类情况表</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035"/>
        <w:gridCol w:w="1501"/>
        <w:gridCol w:w="2588"/>
        <w:gridCol w:w="188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33" w:type="dxa"/>
            <w:tcBorders>
              <w:tl2br w:val="nil"/>
              <w:tr2bl w:val="nil"/>
            </w:tcBorders>
            <w:noWrap w:val="0"/>
            <w:vAlign w:val="center"/>
          </w:tcPr>
          <w:p>
            <w:pPr>
              <w:spacing w:line="240" w:lineRule="auto"/>
              <w:ind w:firstLine="361" w:firstLineChars="150"/>
              <w:rPr>
                <w:rFonts w:hint="eastAsia" w:ascii="仿宋" w:hAnsi="仿宋" w:eastAsia="仿宋" w:cs="仿宋"/>
                <w:b/>
                <w:color w:val="auto"/>
                <w:sz w:val="24"/>
                <w:szCs w:val="24"/>
              </w:rPr>
            </w:pPr>
          </w:p>
        </w:tc>
        <w:tc>
          <w:tcPr>
            <w:tcW w:w="1545" w:type="dxa"/>
            <w:tcBorders>
              <w:tl2br w:val="nil"/>
              <w:tr2bl w:val="nil"/>
            </w:tcBorders>
            <w:noWrap w:val="0"/>
            <w:vAlign w:val="center"/>
          </w:tcPr>
          <w:p>
            <w:pPr>
              <w:spacing w:line="240" w:lineRule="auto"/>
              <w:ind w:left="35" w:leftChars="16"/>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盘式</w:t>
            </w:r>
          </w:p>
        </w:tc>
        <w:tc>
          <w:tcPr>
            <w:tcW w:w="2669" w:type="dxa"/>
            <w:tcBorders>
              <w:tl2br w:val="nil"/>
              <w:tr2bl w:val="nil"/>
            </w:tcBorders>
            <w:noWrap w:val="0"/>
            <w:vAlign w:val="center"/>
          </w:tcPr>
          <w:p>
            <w:pPr>
              <w:spacing w:line="240" w:lineRule="auto"/>
              <w:ind w:left="-95" w:leftChars="-43"/>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动态斜面式</w:t>
            </w:r>
          </w:p>
        </w:tc>
        <w:tc>
          <w:tcPr>
            <w:tcW w:w="1939"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收油网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3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开阔水域</w:t>
            </w:r>
          </w:p>
        </w:tc>
        <w:tc>
          <w:tcPr>
            <w:tcW w:w="154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26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193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3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浅水水域</w:t>
            </w:r>
          </w:p>
        </w:tc>
        <w:tc>
          <w:tcPr>
            <w:tcW w:w="154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26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193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3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高粘度油</w:t>
            </w:r>
          </w:p>
        </w:tc>
        <w:tc>
          <w:tcPr>
            <w:tcW w:w="154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p>
        </w:tc>
        <w:tc>
          <w:tcPr>
            <w:tcW w:w="26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193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3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低粘度油</w:t>
            </w:r>
          </w:p>
        </w:tc>
        <w:tc>
          <w:tcPr>
            <w:tcW w:w="154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26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1939" w:type="dxa"/>
            <w:tcBorders>
              <w:tl2br w:val="nil"/>
              <w:tr2bl w:val="nil"/>
            </w:tcBorders>
            <w:noWrap w:val="0"/>
            <w:vAlign w:val="center"/>
          </w:tcPr>
          <w:p>
            <w:pPr>
              <w:spacing w:line="240" w:lineRule="auto"/>
              <w:ind w:firstLine="360" w:firstLineChars="150"/>
              <w:jc w:val="center"/>
              <w:rPr>
                <w:rFonts w:hint="eastAsia" w:ascii="仿宋" w:hAnsi="仿宋" w:eastAsia="仿宋" w:cs="仿宋"/>
                <w:color w:val="auto"/>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33"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中粘度油</w:t>
            </w:r>
          </w:p>
        </w:tc>
        <w:tc>
          <w:tcPr>
            <w:tcW w:w="154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26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w:t>
            </w:r>
          </w:p>
        </w:tc>
        <w:tc>
          <w:tcPr>
            <w:tcW w:w="1939" w:type="dxa"/>
            <w:tcBorders>
              <w:tl2br w:val="nil"/>
              <w:tr2bl w:val="nil"/>
            </w:tcBorders>
            <w:noWrap w:val="0"/>
            <w:vAlign w:val="center"/>
          </w:tcPr>
          <w:p>
            <w:pPr>
              <w:spacing w:line="240" w:lineRule="auto"/>
              <w:ind w:firstLine="360" w:firstLineChars="150"/>
              <w:jc w:val="center"/>
              <w:rPr>
                <w:rFonts w:hint="eastAsia" w:ascii="仿宋" w:hAnsi="仿宋" w:eastAsia="仿宋" w:cs="仿宋"/>
                <w:color w:val="auto"/>
                <w:sz w:val="24"/>
                <w:szCs w:val="24"/>
              </w:rPr>
            </w:pPr>
          </w:p>
        </w:tc>
      </w:tr>
    </w:tbl>
    <w:p>
      <w:pPr>
        <w:spacing w:line="240" w:lineRule="auto"/>
        <w:outlineLvl w:val="9"/>
        <w:rPr>
          <w:rFonts w:hint="eastAsia" w:ascii="仿宋" w:hAnsi="仿宋" w:eastAsia="仿宋" w:cs="仿宋"/>
          <w:color w:val="auto"/>
          <w:sz w:val="24"/>
          <w:szCs w:val="24"/>
        </w:rPr>
      </w:pPr>
      <w:r>
        <w:rPr>
          <w:rFonts w:hint="eastAsia" w:ascii="仿宋" w:hAnsi="仿宋" w:eastAsia="仿宋" w:cs="仿宋"/>
          <w:color w:val="auto"/>
          <w:sz w:val="24"/>
          <w:szCs w:val="24"/>
        </w:rPr>
        <w:t>（注：表中“√”为适合。）</w:t>
      </w:r>
    </w:p>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p>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-8 收油机特点一览表</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070"/>
        <w:gridCol w:w="1573"/>
        <w:gridCol w:w="2445"/>
        <w:gridCol w:w="191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tblHeader/>
          <w:jc w:val="center"/>
        </w:trPr>
        <w:tc>
          <w:tcPr>
            <w:tcW w:w="3169"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性  能</w:t>
            </w:r>
          </w:p>
        </w:tc>
        <w:tc>
          <w:tcPr>
            <w:tcW w:w="1619"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盘式</w:t>
            </w:r>
          </w:p>
        </w:tc>
        <w:tc>
          <w:tcPr>
            <w:tcW w:w="2520" w:type="dxa"/>
            <w:tcBorders>
              <w:tl2br w:val="nil"/>
              <w:tr2bl w:val="nil"/>
            </w:tcBorders>
            <w:noWrap w:val="0"/>
            <w:vAlign w:val="center"/>
          </w:tcPr>
          <w:p>
            <w:pPr>
              <w:spacing w:line="240" w:lineRule="auto"/>
              <w:jc w:val="center"/>
              <w:rPr>
                <w:rFonts w:hint="eastAsia" w:ascii="仿宋" w:hAnsi="仿宋" w:eastAsia="仿宋" w:cs="仿宋"/>
                <w:b/>
                <w:bCs/>
                <w:color w:val="auto"/>
                <w:sz w:val="24"/>
                <w:szCs w:val="24"/>
              </w:rPr>
            </w:pPr>
            <w:r>
              <w:rPr>
                <w:rFonts w:hint="eastAsia" w:ascii="仿宋" w:hAnsi="仿宋" w:eastAsia="仿宋" w:cs="仿宋"/>
                <w:b/>
                <w:bCs/>
                <w:color w:val="auto"/>
                <w:sz w:val="24"/>
                <w:szCs w:val="24"/>
              </w:rPr>
              <w:t>动态斜面式</w:t>
            </w:r>
          </w:p>
        </w:tc>
        <w:tc>
          <w:tcPr>
            <w:tcW w:w="1978"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收油网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回收效率</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c>
          <w:tcPr>
            <w:tcW w:w="2520" w:type="dxa"/>
            <w:tcBorders>
              <w:tl2br w:val="nil"/>
              <w:tr2bl w:val="nil"/>
            </w:tcBorders>
            <w:noWrap w:val="0"/>
            <w:vAlign w:val="center"/>
          </w:tcPr>
          <w:p>
            <w:pPr>
              <w:spacing w:line="240" w:lineRule="auto"/>
              <w:jc w:val="center"/>
              <w:rPr>
                <w:rFonts w:hint="eastAsia" w:ascii="仿宋" w:hAnsi="仿宋" w:eastAsia="仿宋" w:cs="仿宋"/>
                <w:bCs/>
                <w:color w:val="auto"/>
                <w:sz w:val="24"/>
                <w:szCs w:val="24"/>
              </w:rPr>
            </w:pPr>
            <w:r>
              <w:rPr>
                <w:rFonts w:hint="eastAsia" w:ascii="仿宋" w:hAnsi="仿宋" w:eastAsia="仿宋" w:cs="仿宋"/>
                <w:bCs/>
                <w:color w:val="auto"/>
                <w:sz w:val="24"/>
                <w:szCs w:val="24"/>
              </w:rPr>
              <w:t>高</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行进速度</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0</w:t>
            </w:r>
          </w:p>
        </w:tc>
        <w:tc>
          <w:tcPr>
            <w:tcW w:w="2520" w:type="dxa"/>
            <w:tcBorders>
              <w:tl2br w:val="nil"/>
              <w:tr2bl w:val="nil"/>
            </w:tcBorders>
            <w:noWrap w:val="0"/>
            <w:vAlign w:val="center"/>
          </w:tcPr>
          <w:p>
            <w:pPr>
              <w:spacing w:line="240" w:lineRule="auto"/>
              <w:jc w:val="center"/>
              <w:rPr>
                <w:rFonts w:hint="eastAsia" w:ascii="仿宋" w:hAnsi="仿宋" w:eastAsia="仿宋" w:cs="仿宋"/>
                <w:bCs/>
                <w:color w:val="auto"/>
                <w:sz w:val="24"/>
                <w:szCs w:val="24"/>
              </w:rPr>
            </w:pPr>
            <w:r>
              <w:rPr>
                <w:rFonts w:hint="eastAsia" w:ascii="仿宋" w:hAnsi="仿宋" w:eastAsia="仿宋" w:cs="仿宋"/>
                <w:bCs/>
                <w:color w:val="auto"/>
                <w:sz w:val="24"/>
                <w:szCs w:val="24"/>
              </w:rPr>
              <w:t>0-5节</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油敏感度</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2520" w:type="dxa"/>
            <w:tcBorders>
              <w:tl2br w:val="nil"/>
              <w:tr2bl w:val="nil"/>
            </w:tcBorders>
            <w:noWrap w:val="0"/>
            <w:vAlign w:val="center"/>
          </w:tcPr>
          <w:p>
            <w:pPr>
              <w:spacing w:line="240" w:lineRule="auto"/>
              <w:jc w:val="center"/>
              <w:rPr>
                <w:rFonts w:hint="eastAsia" w:ascii="仿宋" w:hAnsi="仿宋" w:eastAsia="仿宋" w:cs="仿宋"/>
                <w:bCs/>
                <w:color w:val="auto"/>
                <w:sz w:val="24"/>
                <w:szCs w:val="24"/>
              </w:rPr>
            </w:pPr>
            <w:r>
              <w:rPr>
                <w:rFonts w:hint="eastAsia" w:ascii="仿宋" w:hAnsi="仿宋" w:eastAsia="仿宋" w:cs="仿宋"/>
                <w:bCs/>
                <w:color w:val="auto"/>
                <w:sz w:val="24"/>
                <w:szCs w:val="24"/>
              </w:rPr>
              <w:t>低</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垃圾敏感度</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2520" w:type="dxa"/>
            <w:tcBorders>
              <w:tl2br w:val="nil"/>
              <w:tr2bl w:val="nil"/>
            </w:tcBorders>
            <w:noWrap w:val="0"/>
            <w:vAlign w:val="center"/>
          </w:tcPr>
          <w:p>
            <w:pPr>
              <w:spacing w:line="240" w:lineRule="auto"/>
              <w:jc w:val="center"/>
              <w:rPr>
                <w:rFonts w:hint="eastAsia" w:ascii="仿宋" w:hAnsi="仿宋" w:eastAsia="仿宋" w:cs="仿宋"/>
                <w:bCs/>
                <w:color w:val="auto"/>
                <w:sz w:val="24"/>
                <w:szCs w:val="24"/>
              </w:rPr>
            </w:pPr>
            <w:r>
              <w:rPr>
                <w:rFonts w:hint="eastAsia" w:ascii="仿宋" w:hAnsi="仿宋" w:eastAsia="仿宋" w:cs="仿宋"/>
                <w:bCs/>
                <w:color w:val="auto"/>
                <w:sz w:val="24"/>
                <w:szCs w:val="24"/>
              </w:rPr>
              <w:t>低</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油层敏感度</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c>
          <w:tcPr>
            <w:tcW w:w="252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适波性</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2520" w:type="dxa"/>
            <w:tcBorders>
              <w:tl2br w:val="nil"/>
              <w:tr2bl w:val="nil"/>
            </w:tcBorders>
            <w:noWrap w:val="0"/>
            <w:vAlign w:val="center"/>
          </w:tcPr>
          <w:p>
            <w:pPr>
              <w:spacing w:line="240" w:lineRule="auto"/>
              <w:jc w:val="center"/>
              <w:rPr>
                <w:rFonts w:hint="eastAsia" w:ascii="仿宋" w:hAnsi="仿宋" w:eastAsia="仿宋" w:cs="仿宋"/>
                <w:bCs/>
                <w:color w:val="auto"/>
                <w:sz w:val="24"/>
                <w:szCs w:val="24"/>
              </w:rPr>
            </w:pPr>
            <w:r>
              <w:rPr>
                <w:rFonts w:hint="eastAsia" w:ascii="仿宋" w:hAnsi="仿宋" w:eastAsia="仿宋" w:cs="仿宋"/>
                <w:bCs/>
                <w:color w:val="auto"/>
                <w:sz w:val="24"/>
                <w:szCs w:val="24"/>
              </w:rPr>
              <w:t>高</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操作简易度</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252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维护简易</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2520" w:type="dxa"/>
            <w:tcBorders>
              <w:tl2br w:val="nil"/>
              <w:tr2bl w:val="nil"/>
            </w:tcBorders>
            <w:noWrap w:val="0"/>
            <w:vAlign w:val="center"/>
          </w:tcPr>
          <w:p>
            <w:pPr>
              <w:spacing w:line="240" w:lineRule="auto"/>
              <w:jc w:val="center"/>
              <w:rPr>
                <w:rFonts w:hint="eastAsia" w:ascii="仿宋" w:hAnsi="仿宋" w:eastAsia="仿宋" w:cs="仿宋"/>
                <w:bCs/>
                <w:color w:val="auto"/>
                <w:sz w:val="24"/>
                <w:szCs w:val="24"/>
              </w:rPr>
            </w:pPr>
            <w:r>
              <w:rPr>
                <w:rFonts w:hint="eastAsia" w:ascii="仿宋" w:hAnsi="仿宋" w:eastAsia="仿宋" w:cs="仿宋"/>
                <w:bCs/>
                <w:color w:val="auto"/>
                <w:sz w:val="24"/>
                <w:szCs w:val="24"/>
              </w:rPr>
              <w:t>高</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布放简单程度</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252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耐用性</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2520" w:type="dxa"/>
            <w:tcBorders>
              <w:tl2br w:val="nil"/>
              <w:tr2bl w:val="nil"/>
            </w:tcBorders>
            <w:noWrap w:val="0"/>
            <w:vAlign w:val="center"/>
          </w:tcPr>
          <w:p>
            <w:pPr>
              <w:spacing w:line="240" w:lineRule="auto"/>
              <w:jc w:val="center"/>
              <w:rPr>
                <w:rFonts w:hint="eastAsia" w:ascii="仿宋" w:hAnsi="仿宋" w:eastAsia="仿宋" w:cs="仿宋"/>
                <w:bCs/>
                <w:color w:val="auto"/>
                <w:sz w:val="24"/>
                <w:szCs w:val="24"/>
              </w:rPr>
            </w:pPr>
            <w:r>
              <w:rPr>
                <w:rFonts w:hint="eastAsia" w:ascii="仿宋" w:hAnsi="仿宋" w:eastAsia="仿宋" w:cs="仿宋"/>
                <w:bCs/>
                <w:color w:val="auto"/>
                <w:sz w:val="24"/>
                <w:szCs w:val="24"/>
              </w:rPr>
              <w:t>高</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316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储存简易程度</w:t>
            </w:r>
          </w:p>
        </w:tc>
        <w:tc>
          <w:tcPr>
            <w:tcW w:w="1619"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高</w:t>
            </w:r>
          </w:p>
        </w:tc>
        <w:tc>
          <w:tcPr>
            <w:tcW w:w="2520"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中</w:t>
            </w:r>
          </w:p>
        </w:tc>
        <w:tc>
          <w:tcPr>
            <w:tcW w:w="197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低</w:t>
            </w:r>
          </w:p>
        </w:tc>
      </w:tr>
    </w:tbl>
    <w:p>
      <w:pPr>
        <w:pStyle w:val="2"/>
        <w:bidi w:val="0"/>
        <w:spacing w:line="360" w:lineRule="auto"/>
        <w:ind w:left="0" w:leftChars="0" w:firstLine="0" w:firstLineChars="0"/>
        <w:outlineLvl w:val="9"/>
        <w:rPr>
          <w:rFonts w:hint="eastAsia" w:ascii="仿宋" w:hAnsi="仿宋" w:eastAsia="仿宋" w:cs="仿宋"/>
          <w:color w:val="auto"/>
          <w:sz w:val="28"/>
          <w:szCs w:val="28"/>
          <w:lang w:val="en-US" w:eastAsia="zh-CN"/>
        </w:rPr>
      </w:pPr>
    </w:p>
    <w:p>
      <w:pPr>
        <w:pStyle w:val="2"/>
        <w:bidi w:val="0"/>
        <w:spacing w:line="360" w:lineRule="auto"/>
        <w:ind w:firstLine="562" w:firstLineChars="200"/>
        <w:jc w:val="both"/>
        <w:rPr>
          <w:rFonts w:hint="eastAsia" w:ascii="仿宋" w:hAnsi="仿宋" w:eastAsia="仿宋" w:cs="仿宋"/>
          <w:color w:val="auto"/>
          <w:sz w:val="28"/>
          <w:szCs w:val="28"/>
          <w:lang w:val="en-US" w:eastAsia="zh-CN"/>
        </w:rPr>
      </w:pPr>
      <w:bookmarkStart w:id="77" w:name="_Toc26300"/>
      <w:r>
        <w:rPr>
          <w:rFonts w:hint="eastAsia" w:ascii="仿宋" w:hAnsi="仿宋" w:eastAsia="仿宋" w:cs="仿宋"/>
          <w:color w:val="auto"/>
          <w:sz w:val="28"/>
          <w:szCs w:val="28"/>
          <w:lang w:val="en-US" w:eastAsia="zh-CN"/>
        </w:rPr>
        <w:t>6.2.1.3 海上溢油的机械清除方案</w:t>
      </w:r>
      <w:bookmarkEnd w:id="77"/>
    </w:p>
    <w:p>
      <w:pPr>
        <w:pStyle w:val="2"/>
        <w:bidi w:val="0"/>
        <w:spacing w:line="360" w:lineRule="auto"/>
        <w:ind w:left="0" w:leftChars="0" w:firstLine="562" w:firstLineChars="200"/>
        <w:jc w:val="both"/>
        <w:rPr>
          <w:rFonts w:hint="eastAsia" w:ascii="仿宋" w:hAnsi="仿宋" w:eastAsia="仿宋" w:cs="仿宋"/>
          <w:color w:val="auto"/>
          <w:sz w:val="28"/>
          <w:szCs w:val="28"/>
          <w:lang w:val="en-US"/>
        </w:rPr>
      </w:pPr>
      <w:bookmarkStart w:id="78" w:name="_Toc16362"/>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val="en-US"/>
        </w:rPr>
        <w:t>）有围油栏配合的机械清除海上溢油</w:t>
      </w:r>
      <w:bookmarkEnd w:id="78"/>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机械清除海上溢油采用由围油栏和收油机等组合的收油系统，也可用吸油材料和溢油回收船。本节对围油栏和收油机组合的扫油系统的技术方案，将作业时所用船数分为单船、二船和三船扫油作业方案。</w:t>
      </w:r>
    </w:p>
    <w:p>
      <w:pPr>
        <w:keepLines w:val="0"/>
        <w:pageBreakBefore w:val="0"/>
        <w:widowControl/>
        <w:numPr>
          <w:ilvl w:val="0"/>
          <w:numId w:val="0"/>
        </w:numPr>
        <w:tabs>
          <w:tab w:val="left" w:pos="720"/>
        </w:tabs>
        <w:kinsoku/>
        <w:wordWrap/>
        <w:overflowPunct/>
        <w:topLinePunct w:val="0"/>
        <w:autoSpaceDE/>
        <w:autoSpaceDN/>
        <w:bidi w:val="0"/>
        <w:adjustRightInd/>
        <w:snapToGrid/>
        <w:spacing w:before="0" w:after="0" w:line="360" w:lineRule="auto"/>
        <w:ind w:left="482" w:leftChars="0" w:right="0" w:rightChars="0"/>
        <w:jc w:val="both"/>
        <w:textAlignment w:val="auto"/>
        <w:outlineLvl w:val="9"/>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w:t>
      </w:r>
      <w:r>
        <w:rPr>
          <w:rFonts w:hint="eastAsia" w:ascii="仿宋" w:hAnsi="仿宋" w:eastAsia="仿宋" w:cs="仿宋"/>
          <w:b/>
          <w:color w:val="auto"/>
          <w:sz w:val="28"/>
          <w:szCs w:val="28"/>
          <w:lang w:val="en-US" w:eastAsia="zh-CN" w:bidi="ar-SA"/>
        </w:rPr>
        <w:t xml:space="preserve"> </w:t>
      </w:r>
      <w:r>
        <w:rPr>
          <w:rFonts w:hint="eastAsia" w:ascii="仿宋" w:hAnsi="仿宋" w:eastAsia="仿宋" w:cs="仿宋"/>
          <w:b/>
          <w:color w:val="auto"/>
          <w:sz w:val="28"/>
          <w:szCs w:val="28"/>
          <w:lang w:val="en-US" w:bidi="ar-SA"/>
        </w:rPr>
        <w:t>单船收油系统</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在单船的一侧用刚性支架和绳索固定围油栏，并在围油栏靠船一端放置一台与船上动力源相连的收油机，聚集在靠船一端围油栏内的油通过收油机被泵入船上储油舱。如图</w:t>
      </w:r>
      <w:r>
        <w:rPr>
          <w:rFonts w:hint="eastAsia" w:ascii="仿宋" w:hAnsi="仿宋" w:eastAsia="仿宋" w:cs="仿宋"/>
          <w:color w:val="auto"/>
          <w:sz w:val="28"/>
          <w:szCs w:val="28"/>
          <w:lang w:val="en-US" w:eastAsia="zh-CN" w:bidi="ar-SA"/>
        </w:rPr>
        <w:t>6</w:t>
      </w:r>
      <w:r>
        <w:rPr>
          <w:rFonts w:hint="eastAsia" w:ascii="仿宋" w:hAnsi="仿宋" w:eastAsia="仿宋" w:cs="仿宋"/>
          <w:color w:val="auto"/>
          <w:sz w:val="28"/>
          <w:szCs w:val="28"/>
          <w:lang w:val="en-US" w:bidi="ar-SA"/>
        </w:rPr>
        <w:t>-</w:t>
      </w:r>
      <w:r>
        <w:rPr>
          <w:rFonts w:hint="eastAsia" w:ascii="仿宋" w:hAnsi="仿宋" w:eastAsia="仿宋" w:cs="仿宋"/>
          <w:color w:val="auto"/>
          <w:sz w:val="28"/>
          <w:szCs w:val="28"/>
          <w:lang w:val="en-US" w:eastAsia="zh-CN" w:bidi="ar-SA"/>
        </w:rPr>
        <w:t>5</w:t>
      </w:r>
      <w:r>
        <w:rPr>
          <w:rFonts w:hint="eastAsia" w:ascii="仿宋" w:hAnsi="仿宋" w:eastAsia="仿宋" w:cs="仿宋"/>
          <w:color w:val="auto"/>
          <w:sz w:val="28"/>
          <w:szCs w:val="28"/>
          <w:lang w:val="en-US" w:bidi="ar-SA"/>
        </w:rPr>
        <w:t>。</w:t>
      </w:r>
    </w:p>
    <w:p>
      <w:pPr>
        <w:spacing w:after="0" w:line="358" w:lineRule="exact"/>
        <w:jc w:val="left"/>
        <w:rPr>
          <w:rFonts w:hint="eastAsia" w:ascii="仿宋" w:hAnsi="仿宋" w:eastAsia="仿宋" w:cs="仿宋"/>
          <w:color w:val="auto"/>
          <w:sz w:val="28"/>
          <w:szCs w:val="28"/>
        </w:rPr>
      </w:pPr>
    </w:p>
    <w:p>
      <w:pPr>
        <w:spacing w:after="0" w:line="240" w:lineRule="auto"/>
        <w:jc w:val="left"/>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000375" cy="1496695"/>
            <wp:effectExtent l="0" t="0" r="9525" b="8255"/>
            <wp:docPr id="2" name="图片 2" descr="图片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12"/>
                    <pic:cNvPicPr>
                      <a:picLocks noChangeAspect="1"/>
                    </pic:cNvPicPr>
                  </pic:nvPicPr>
                  <pic:blipFill>
                    <a:blip r:embed="rId20"/>
                    <a:stretch>
                      <a:fillRect/>
                    </a:stretch>
                  </pic:blipFill>
                  <pic:spPr>
                    <a:xfrm>
                      <a:off x="0" y="0"/>
                      <a:ext cx="3000375" cy="149669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5</w:t>
      </w:r>
      <w:r>
        <w:rPr>
          <w:rFonts w:hint="eastAsia" w:ascii="仿宋" w:hAnsi="仿宋" w:eastAsia="仿宋" w:cs="仿宋"/>
          <w:b/>
          <w:color w:val="auto"/>
          <w:sz w:val="24"/>
          <w:szCs w:val="24"/>
        </w:rPr>
        <w:t xml:space="preserve"> 单船收油系统</w:t>
      </w:r>
    </w:p>
    <w:p>
      <w:pPr>
        <w:spacing w:after="0" w:line="240" w:lineRule="auto"/>
        <w:jc w:val="left"/>
        <w:rPr>
          <w:rFonts w:hint="eastAsia" w:ascii="仿宋" w:hAnsi="仿宋" w:eastAsia="仿宋" w:cs="仿宋"/>
          <w:color w:val="auto"/>
          <w:sz w:val="28"/>
          <w:szCs w:val="28"/>
          <w:lang w:eastAsia="zh-CN"/>
        </w:rPr>
      </w:pP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rPr>
        <w:t>单船收油系统主要考虑使用本公司的</w:t>
      </w:r>
      <w:r>
        <w:rPr>
          <w:rFonts w:hint="eastAsia" w:ascii="仿宋" w:hAnsi="仿宋" w:eastAsia="仿宋" w:cs="仿宋"/>
          <w:color w:val="auto"/>
          <w:sz w:val="28"/>
          <w:szCs w:val="28"/>
          <w:lang w:eastAsia="zh-CN"/>
        </w:rPr>
        <w:t>“众和</w:t>
      </w:r>
      <w:r>
        <w:rPr>
          <w:rFonts w:hint="eastAsia" w:ascii="仿宋" w:hAnsi="仿宋" w:eastAsia="仿宋" w:cs="仿宋"/>
          <w:color w:val="auto"/>
          <w:sz w:val="28"/>
          <w:szCs w:val="28"/>
          <w:lang w:val="en-US" w:eastAsia="zh-CN"/>
        </w:rPr>
        <w:t>1</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rPr>
        <w:t>溢油应急处置船。</w:t>
      </w:r>
    </w:p>
    <w:p>
      <w:pPr>
        <w:keepNext w:val="0"/>
        <w:keepLines w:val="0"/>
        <w:pageBreakBefore w:val="0"/>
        <w:widowControl/>
        <w:numPr>
          <w:ilvl w:val="0"/>
          <w:numId w:val="0"/>
        </w:numPr>
        <w:tabs>
          <w:tab w:val="left" w:pos="720"/>
        </w:tabs>
        <w:kinsoku/>
        <w:wordWrap/>
        <w:overflowPunct/>
        <w:topLinePunct w:val="0"/>
        <w:autoSpaceDE/>
        <w:autoSpaceDN/>
        <w:bidi w:val="0"/>
        <w:adjustRightInd/>
        <w:snapToGrid/>
        <w:spacing w:line="360" w:lineRule="auto"/>
        <w:ind w:left="482" w:leftChars="0" w:right="0" w:rightChars="0"/>
        <w:jc w:val="both"/>
        <w:textAlignment w:val="auto"/>
        <w:outlineLvl w:val="9"/>
        <w:rPr>
          <w:rFonts w:hint="eastAsia" w:ascii="仿宋" w:hAnsi="仿宋" w:eastAsia="仿宋" w:cs="仿宋"/>
          <w:b/>
          <w:color w:val="auto"/>
          <w:sz w:val="28"/>
          <w:szCs w:val="28"/>
          <w:lang w:val="en-US" w:bidi="ar-SA"/>
        </w:rPr>
      </w:pPr>
    </w:p>
    <w:p>
      <w:pPr>
        <w:keepNext w:val="0"/>
        <w:keepLines w:val="0"/>
        <w:pageBreakBefore w:val="0"/>
        <w:widowControl/>
        <w:numPr>
          <w:ilvl w:val="0"/>
          <w:numId w:val="0"/>
        </w:numPr>
        <w:tabs>
          <w:tab w:val="left" w:pos="720"/>
        </w:tabs>
        <w:kinsoku/>
        <w:wordWrap/>
        <w:overflowPunct/>
        <w:topLinePunct w:val="0"/>
        <w:autoSpaceDE/>
        <w:autoSpaceDN/>
        <w:bidi w:val="0"/>
        <w:adjustRightInd/>
        <w:snapToGrid/>
        <w:spacing w:line="360" w:lineRule="auto"/>
        <w:ind w:left="482" w:leftChars="0" w:right="0" w:rightChars="0"/>
        <w:jc w:val="both"/>
        <w:textAlignment w:val="auto"/>
        <w:outlineLvl w:val="9"/>
        <w:rPr>
          <w:rFonts w:hint="eastAsia" w:ascii="仿宋" w:hAnsi="仿宋" w:eastAsia="仿宋" w:cs="仿宋"/>
          <w:b/>
          <w:color w:val="auto"/>
          <w:sz w:val="28"/>
          <w:szCs w:val="28"/>
        </w:rPr>
      </w:pPr>
      <w:r>
        <w:rPr>
          <w:rFonts w:hint="eastAsia" w:ascii="仿宋" w:hAnsi="仿宋" w:eastAsia="仿宋" w:cs="仿宋"/>
          <w:b/>
          <w:color w:val="auto"/>
          <w:sz w:val="28"/>
          <w:szCs w:val="28"/>
          <w:lang w:val="en-US" w:bidi="ar-SA"/>
        </w:rPr>
        <w:t>◆</w:t>
      </w:r>
      <w:r>
        <w:rPr>
          <w:rFonts w:hint="eastAsia" w:ascii="仿宋" w:hAnsi="仿宋" w:eastAsia="仿宋" w:cs="仿宋"/>
          <w:b/>
          <w:color w:val="auto"/>
          <w:sz w:val="28"/>
          <w:szCs w:val="28"/>
          <w:lang w:val="en-US" w:eastAsia="zh-CN" w:bidi="ar-SA"/>
        </w:rPr>
        <w:t xml:space="preserve"> </w:t>
      </w:r>
      <w:r>
        <w:rPr>
          <w:rFonts w:hint="eastAsia" w:ascii="仿宋" w:hAnsi="仿宋" w:eastAsia="仿宋" w:cs="仿宋"/>
          <w:b/>
          <w:color w:val="auto"/>
          <w:sz w:val="28"/>
          <w:szCs w:val="28"/>
        </w:rPr>
        <w:t>二船收油系统</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由二艘船和一个专用围油栏和收油机组成。围油栏由二艘船拖曳成"J”形，油被置于围油栏顶端的收油机回收，并泵入靠近收油机一边的船上的储油舱中，见图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181350" cy="1477645"/>
            <wp:effectExtent l="0" t="0" r="0" b="8255"/>
            <wp:docPr id="3" name="图片 3" descr="图片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13"/>
                    <pic:cNvPicPr>
                      <a:picLocks noChangeAspect="1"/>
                    </pic:cNvPicPr>
                  </pic:nvPicPr>
                  <pic:blipFill>
                    <a:blip r:embed="rId21"/>
                    <a:stretch>
                      <a:fillRect/>
                    </a:stretch>
                  </pic:blipFill>
                  <pic:spPr>
                    <a:xfrm>
                      <a:off x="0" y="0"/>
                      <a:ext cx="3181350" cy="147764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 xml:space="preserve"> 二船拖曳围油栏布设为"J”形，其中一船布放收油机</w:t>
      </w:r>
    </w:p>
    <w:p>
      <w:pPr>
        <w:spacing w:after="0" w:line="360" w:lineRule="auto"/>
        <w:jc w:val="both"/>
        <w:rPr>
          <w:rFonts w:hint="eastAsia" w:ascii="仿宋" w:hAnsi="仿宋" w:eastAsia="仿宋" w:cs="仿宋"/>
          <w:color w:val="auto"/>
          <w:sz w:val="28"/>
          <w:szCs w:val="28"/>
          <w:lang w:eastAsia="zh-CN"/>
        </w:rPr>
      </w:pPr>
    </w:p>
    <w:p>
      <w:pPr>
        <w:keepNext w:val="0"/>
        <w:keepLines w:val="0"/>
        <w:pageBreakBefore w:val="0"/>
        <w:widowControl/>
        <w:kinsoku/>
        <w:wordWrap/>
        <w:overflowPunct/>
        <w:topLinePunct w:val="0"/>
        <w:autoSpaceDE/>
        <w:autoSpaceDN/>
        <w:bidi w:val="0"/>
        <w:adjustRightInd/>
        <w:snapToGrid/>
        <w:spacing w:before="0" w:after="0" w:line="360" w:lineRule="auto"/>
        <w:ind w:right="0" w:firstLine="560" w:firstLineChars="200"/>
        <w:jc w:val="left"/>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bidi="ar-SA"/>
        </w:rPr>
        <w:t>另一种二船收油系统为单船收油系统再另加一小船，小船与单船收油系统通过一截较短的围油栏相连并拉紧，二船按下图</w:t>
      </w:r>
      <w:r>
        <w:rPr>
          <w:rFonts w:hint="eastAsia" w:ascii="仿宋" w:hAnsi="仿宋" w:eastAsia="仿宋" w:cs="仿宋"/>
          <w:color w:val="auto"/>
          <w:sz w:val="28"/>
          <w:szCs w:val="28"/>
          <w:lang w:val="en-US" w:eastAsia="zh-CN" w:bidi="ar-SA"/>
        </w:rPr>
        <w:t>6</w:t>
      </w:r>
      <w:r>
        <w:rPr>
          <w:rFonts w:hint="eastAsia" w:ascii="仿宋" w:hAnsi="仿宋" w:eastAsia="仿宋" w:cs="仿宋"/>
          <w:color w:val="auto"/>
          <w:sz w:val="28"/>
          <w:szCs w:val="28"/>
          <w:lang w:val="en-US" w:bidi="ar-SA"/>
        </w:rPr>
        <w:t>-</w:t>
      </w:r>
      <w:r>
        <w:rPr>
          <w:rFonts w:hint="eastAsia" w:ascii="仿宋" w:hAnsi="仿宋" w:eastAsia="仿宋" w:cs="仿宋"/>
          <w:color w:val="auto"/>
          <w:sz w:val="28"/>
          <w:szCs w:val="28"/>
          <w:lang w:val="en-US" w:eastAsia="zh-CN" w:bidi="ar-SA"/>
        </w:rPr>
        <w:t>7</w:t>
      </w:r>
      <w:r>
        <w:rPr>
          <w:rFonts w:hint="eastAsia" w:ascii="仿宋" w:hAnsi="仿宋" w:eastAsia="仿宋" w:cs="仿宋"/>
          <w:color w:val="auto"/>
          <w:sz w:val="28"/>
          <w:szCs w:val="28"/>
          <w:lang w:val="en-US" w:bidi="ar-SA"/>
        </w:rPr>
        <w:t>排列，以增加围油率。</w:t>
      </w:r>
    </w:p>
    <w:p>
      <w:pPr>
        <w:spacing w:after="0" w:line="360" w:lineRule="auto"/>
        <w:jc w:val="both"/>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2794000" cy="1459865"/>
            <wp:effectExtent l="0" t="0" r="6350" b="6985"/>
            <wp:docPr id="15" name="图片 15" descr="图片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图片14"/>
                    <pic:cNvPicPr>
                      <a:picLocks noChangeAspect="1"/>
                    </pic:cNvPicPr>
                  </pic:nvPicPr>
                  <pic:blipFill>
                    <a:blip r:embed="rId22"/>
                    <a:stretch>
                      <a:fillRect/>
                    </a:stretch>
                  </pic:blipFill>
                  <pic:spPr>
                    <a:xfrm>
                      <a:off x="0" y="0"/>
                      <a:ext cx="2794000" cy="145986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7</w:t>
      </w:r>
      <w:r>
        <w:rPr>
          <w:rFonts w:hint="eastAsia" w:ascii="仿宋" w:hAnsi="仿宋" w:eastAsia="仿宋" w:cs="仿宋"/>
          <w:b/>
          <w:color w:val="auto"/>
          <w:sz w:val="24"/>
          <w:szCs w:val="24"/>
        </w:rPr>
        <w:t xml:space="preserve"> 单船收油系统另加一船拖曳围油栏，以增加围油率</w:t>
      </w:r>
    </w:p>
    <w:p>
      <w:pPr>
        <w:keepNext w:val="0"/>
        <w:keepLines w:val="0"/>
        <w:pageBreakBefore w:val="0"/>
        <w:widowControl/>
        <w:kinsoku/>
        <w:wordWrap/>
        <w:overflowPunct/>
        <w:topLinePunct w:val="0"/>
        <w:autoSpaceDE/>
        <w:autoSpaceDN/>
        <w:bidi w:val="0"/>
        <w:adjustRightInd/>
        <w:snapToGrid/>
        <w:spacing w:line="500" w:lineRule="exact"/>
        <w:jc w:val="both"/>
        <w:textAlignment w:val="auto"/>
        <w:rPr>
          <w:rFonts w:hint="eastAsia" w:ascii="仿宋" w:hAnsi="仿宋" w:eastAsia="仿宋" w:cs="仿宋"/>
          <w:b/>
          <w:color w:val="auto"/>
          <w:sz w:val="24"/>
          <w:szCs w:val="24"/>
        </w:rPr>
      </w:pP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二船收油系统主要考虑本公司带有收油功能的溢油应急处置船与其中一条具备围油栏拖带能力的辅助船配合作业。</w:t>
      </w:r>
    </w:p>
    <w:p>
      <w:pPr>
        <w:keepNext w:val="0"/>
        <w:keepLines w:val="0"/>
        <w:pageBreakBefore w:val="0"/>
        <w:widowControl/>
        <w:numPr>
          <w:ilvl w:val="0"/>
          <w:numId w:val="0"/>
        </w:numPr>
        <w:tabs>
          <w:tab w:val="left" w:pos="720"/>
        </w:tabs>
        <w:kinsoku/>
        <w:wordWrap/>
        <w:overflowPunct/>
        <w:topLinePunct w:val="0"/>
        <w:autoSpaceDE/>
        <w:autoSpaceDN/>
        <w:bidi w:val="0"/>
        <w:adjustRightInd/>
        <w:snapToGrid/>
        <w:spacing w:line="360" w:lineRule="auto"/>
        <w:ind w:right="0" w:rightChars="0" w:firstLine="562" w:firstLineChars="200"/>
        <w:jc w:val="both"/>
        <w:textAlignment w:val="auto"/>
        <w:outlineLvl w:val="9"/>
        <w:rPr>
          <w:rFonts w:hint="eastAsia" w:ascii="仿宋" w:hAnsi="仿宋" w:eastAsia="仿宋" w:cs="仿宋"/>
          <w:b/>
          <w:color w:val="auto"/>
          <w:sz w:val="28"/>
          <w:szCs w:val="28"/>
          <w:lang w:val="en-US" w:bidi="ar-SA"/>
        </w:rPr>
      </w:pPr>
    </w:p>
    <w:p>
      <w:pPr>
        <w:keepNext w:val="0"/>
        <w:keepLines w:val="0"/>
        <w:pageBreakBefore w:val="0"/>
        <w:widowControl/>
        <w:numPr>
          <w:ilvl w:val="0"/>
          <w:numId w:val="0"/>
        </w:numPr>
        <w:tabs>
          <w:tab w:val="left" w:pos="720"/>
        </w:tabs>
        <w:kinsoku/>
        <w:wordWrap/>
        <w:overflowPunct/>
        <w:topLinePunct w:val="0"/>
        <w:autoSpaceDE/>
        <w:autoSpaceDN/>
        <w:bidi w:val="0"/>
        <w:adjustRightInd/>
        <w:snapToGrid/>
        <w:spacing w:line="360" w:lineRule="auto"/>
        <w:ind w:right="0" w:rightChars="0" w:firstLine="562" w:firstLineChars="200"/>
        <w:jc w:val="both"/>
        <w:textAlignment w:val="auto"/>
        <w:outlineLvl w:val="9"/>
        <w:rPr>
          <w:rFonts w:hint="eastAsia" w:ascii="仿宋" w:hAnsi="仿宋" w:eastAsia="仿宋" w:cs="仿宋"/>
          <w:b/>
          <w:color w:val="auto"/>
          <w:sz w:val="28"/>
          <w:szCs w:val="28"/>
        </w:rPr>
      </w:pPr>
      <w:r>
        <w:rPr>
          <w:rFonts w:hint="eastAsia" w:ascii="仿宋" w:hAnsi="仿宋" w:eastAsia="仿宋" w:cs="仿宋"/>
          <w:b/>
          <w:color w:val="auto"/>
          <w:sz w:val="28"/>
          <w:szCs w:val="28"/>
          <w:lang w:val="en-US" w:bidi="ar-SA"/>
        </w:rPr>
        <w:t>◆</w:t>
      </w:r>
      <w:r>
        <w:rPr>
          <w:rFonts w:hint="eastAsia" w:ascii="仿宋" w:hAnsi="仿宋" w:eastAsia="仿宋" w:cs="仿宋"/>
          <w:b/>
          <w:color w:val="auto"/>
          <w:sz w:val="28"/>
          <w:szCs w:val="28"/>
        </w:rPr>
        <w:t>三船收油系统</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由三艘船、围油栏和收油机组成，主要考虑本公司带有收油功能的溢油应急处置船与两艘具备围油栏拖带能力的辅助船配合作业。三船收油系统可按下列三种方式布设：</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①</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二艘船将围油栏拖曳成"V"形，油被置于"V"形围油栏顶端的收油机回收，并被泵入第三艘船上储油舱中。见图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8</w:t>
      </w:r>
      <w:r>
        <w:rPr>
          <w:rFonts w:hint="eastAsia" w:ascii="仿宋" w:hAnsi="仿宋" w:eastAsia="仿宋" w:cs="仿宋"/>
          <w:color w:val="auto"/>
          <w:sz w:val="28"/>
          <w:szCs w:val="28"/>
        </w:rPr>
        <w:t>。</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2882900" cy="1501140"/>
            <wp:effectExtent l="0" t="0" r="12700" b="3810"/>
            <wp:docPr id="16" name="图片 16" descr="图片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片15"/>
                    <pic:cNvPicPr>
                      <a:picLocks noChangeAspect="1"/>
                    </pic:cNvPicPr>
                  </pic:nvPicPr>
                  <pic:blipFill>
                    <a:blip r:embed="rId23"/>
                    <a:stretch>
                      <a:fillRect/>
                    </a:stretch>
                  </pic:blipFill>
                  <pic:spPr>
                    <a:xfrm>
                      <a:off x="0" y="0"/>
                      <a:ext cx="2882900" cy="150114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8</w:t>
      </w:r>
      <w:r>
        <w:rPr>
          <w:rFonts w:hint="eastAsia" w:ascii="仿宋" w:hAnsi="仿宋" w:eastAsia="仿宋" w:cs="仿宋"/>
          <w:b/>
          <w:color w:val="auto"/>
          <w:sz w:val="24"/>
          <w:szCs w:val="24"/>
        </w:rPr>
        <w:t xml:space="preserve"> 二船拖曳围油栏成"V"形，收油机设置在"V"形顶端，</w:t>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color w:val="auto"/>
          <w:sz w:val="24"/>
          <w:szCs w:val="24"/>
          <w:lang w:eastAsia="zh-CN"/>
        </w:rPr>
      </w:pPr>
      <w:r>
        <w:rPr>
          <w:rFonts w:hint="eastAsia" w:ascii="仿宋" w:hAnsi="仿宋" w:eastAsia="仿宋" w:cs="仿宋"/>
          <w:b/>
          <w:color w:val="auto"/>
          <w:sz w:val="24"/>
          <w:szCs w:val="24"/>
        </w:rPr>
        <w:t>油被转移到第三艘船上</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②</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二艘船将围油栏拖曳成"U"形，油被聚集在围油栏顶端，通过收油机软管和泵，被泵至第三艘船上储油舱或油囊中。见图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9</w:t>
      </w:r>
      <w:r>
        <w:rPr>
          <w:rFonts w:hint="eastAsia" w:ascii="仿宋" w:hAnsi="仿宋" w:eastAsia="仿宋" w:cs="仿宋"/>
          <w:color w:val="auto"/>
          <w:sz w:val="28"/>
          <w:szCs w:val="28"/>
        </w:rPr>
        <w:t>。</w:t>
      </w:r>
    </w:p>
    <w:p>
      <w:pPr>
        <w:keepNext w:val="0"/>
        <w:keepLines w:val="0"/>
        <w:pageBreakBefore w:val="0"/>
        <w:widowControl/>
        <w:kinsoku/>
        <w:wordWrap/>
        <w:overflowPunct/>
        <w:topLinePunct w:val="0"/>
        <w:autoSpaceDE/>
        <w:autoSpaceDN/>
        <w:bidi w:val="0"/>
        <w:adjustRightInd/>
        <w:snapToGrid/>
        <w:spacing w:line="240" w:lineRule="auto"/>
        <w:textAlignment w:val="auto"/>
        <w:rPr>
          <w:rFonts w:hint="eastAsia" w:ascii="仿宋" w:hAnsi="仿宋" w:eastAsia="仿宋" w:cs="仿宋"/>
          <w:color w:val="auto"/>
          <w:sz w:val="24"/>
          <w:szCs w:val="24"/>
          <w:lang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529965" cy="1425575"/>
            <wp:effectExtent l="0" t="0" r="13335" b="3175"/>
            <wp:docPr id="17" name="图片 17" descr="图片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片16"/>
                    <pic:cNvPicPr>
                      <a:picLocks noChangeAspect="1"/>
                    </pic:cNvPicPr>
                  </pic:nvPicPr>
                  <pic:blipFill>
                    <a:blip r:embed="rId24"/>
                    <a:stretch>
                      <a:fillRect/>
                    </a:stretch>
                  </pic:blipFill>
                  <pic:spPr>
                    <a:xfrm>
                      <a:off x="0" y="0"/>
                      <a:ext cx="3529965" cy="142557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color w:val="auto"/>
          <w:sz w:val="24"/>
          <w:szCs w:val="24"/>
          <w:lang w:eastAsia="zh-CN"/>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9</w:t>
      </w:r>
      <w:r>
        <w:rPr>
          <w:rFonts w:hint="eastAsia" w:ascii="仿宋" w:hAnsi="仿宋" w:eastAsia="仿宋" w:cs="仿宋"/>
          <w:b/>
          <w:color w:val="auto"/>
          <w:sz w:val="24"/>
          <w:szCs w:val="24"/>
        </w:rPr>
        <w:t xml:space="preserve"> 二船拖曳围油栏成"U"形</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lang w:eastAsia="zh-CN"/>
        </w:rPr>
      </w:pPr>
      <w:r>
        <w:rPr>
          <w:rFonts w:hint="eastAsia" w:ascii="仿宋" w:hAnsi="仿宋" w:eastAsia="仿宋" w:cs="仿宋"/>
          <w:color w:val="auto"/>
          <w:sz w:val="28"/>
          <w:szCs w:val="28"/>
        </w:rPr>
        <w:t>③</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二艘船以1-2节航速将围油栏拖曳成“U”形，油被聚集在围油栏顶端，并允许油在围油栏"U"形顶端逃逸。逃逸的油用单船扫油系统回收。见图</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10</w:t>
      </w:r>
      <w:r>
        <w:rPr>
          <w:rFonts w:hint="eastAsia" w:ascii="仿宋" w:hAnsi="仿宋" w:eastAsia="仿宋" w:cs="仿宋"/>
          <w:color w:val="auto"/>
          <w:sz w:val="28"/>
          <w:szCs w:val="28"/>
        </w:rPr>
        <w:t>。在这种情况下，使用DIP式收油机，它能够在围油栏失效情况下，工作良好。</w:t>
      </w:r>
    </w:p>
    <w:p>
      <w:pPr>
        <w:spacing w:after="0" w:line="360" w:lineRule="auto"/>
        <w:ind w:left="840" w:hanging="840" w:hangingChars="300"/>
        <w:jc w:val="both"/>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eastAsia="zh-CN"/>
        </w:rPr>
        <w:drawing>
          <wp:inline distT="0" distB="0" distL="114300" distR="114300">
            <wp:extent cx="3224530" cy="1336675"/>
            <wp:effectExtent l="0" t="0" r="13970" b="15875"/>
            <wp:docPr id="18" name="图片 18" descr="图片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图片17"/>
                    <pic:cNvPicPr>
                      <a:picLocks noChangeAspect="1"/>
                    </pic:cNvPicPr>
                  </pic:nvPicPr>
                  <pic:blipFill>
                    <a:blip r:embed="rId25"/>
                    <a:stretch>
                      <a:fillRect/>
                    </a:stretch>
                  </pic:blipFill>
                  <pic:spPr>
                    <a:xfrm>
                      <a:off x="0" y="0"/>
                      <a:ext cx="3224530" cy="1336675"/>
                    </a:xfrm>
                    <a:prstGeom prst="rect">
                      <a:avLst/>
                    </a:prstGeom>
                  </pic:spPr>
                </pic:pic>
              </a:graphicData>
            </a:graphic>
          </wp:inline>
        </w:drawing>
      </w:r>
      <w:r>
        <w:rPr>
          <w:rFonts w:hint="eastAsia" w:ascii="仿宋" w:hAnsi="仿宋" w:eastAsia="仿宋" w:cs="仿宋"/>
          <w:color w:val="auto"/>
          <w:sz w:val="28"/>
          <w:szCs w:val="28"/>
          <w:lang w:val="en-US" w:eastAsia="zh-CN"/>
        </w:rPr>
        <w:t xml:space="preserve">         </w:t>
      </w:r>
    </w:p>
    <w:p>
      <w:pPr>
        <w:spacing w:after="0" w:line="360" w:lineRule="auto"/>
        <w:ind w:left="840" w:hanging="723" w:hangingChars="300"/>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图</w:t>
      </w:r>
      <w:r>
        <w:rPr>
          <w:rFonts w:hint="eastAsia" w:ascii="仿宋" w:hAnsi="仿宋" w:eastAsia="仿宋" w:cs="仿宋"/>
          <w:b/>
          <w:color w:val="auto"/>
          <w:sz w:val="24"/>
          <w:szCs w:val="24"/>
          <w:lang w:val="en-US" w:eastAsia="zh-CN"/>
        </w:rPr>
        <w:t>6</w:t>
      </w:r>
      <w:r>
        <w:rPr>
          <w:rFonts w:hint="eastAsia" w:ascii="仿宋" w:hAnsi="仿宋" w:eastAsia="仿宋" w:cs="仿宋"/>
          <w:b/>
          <w:color w:val="auto"/>
          <w:sz w:val="24"/>
          <w:szCs w:val="24"/>
        </w:rPr>
        <w:t>-</w:t>
      </w:r>
      <w:r>
        <w:rPr>
          <w:rFonts w:hint="eastAsia" w:ascii="仿宋" w:hAnsi="仿宋" w:eastAsia="仿宋" w:cs="仿宋"/>
          <w:b/>
          <w:color w:val="auto"/>
          <w:sz w:val="24"/>
          <w:szCs w:val="24"/>
          <w:lang w:val="en-US" w:eastAsia="zh-CN"/>
        </w:rPr>
        <w:t>10</w:t>
      </w:r>
      <w:r>
        <w:rPr>
          <w:rFonts w:hint="eastAsia" w:ascii="仿宋" w:hAnsi="仿宋" w:eastAsia="仿宋" w:cs="仿宋"/>
          <w:b/>
          <w:color w:val="auto"/>
          <w:sz w:val="24"/>
          <w:szCs w:val="24"/>
        </w:rPr>
        <w:t xml:space="preserve"> 二船拖曳围油栏成"U"形，逃逸的油用单船收油系统回收</w:t>
      </w:r>
    </w:p>
    <w:p>
      <w:pPr>
        <w:spacing w:after="0" w:line="360" w:lineRule="auto"/>
        <w:ind w:left="840" w:hanging="723" w:hangingChars="300"/>
        <w:jc w:val="both"/>
        <w:rPr>
          <w:rFonts w:hint="eastAsia" w:ascii="仿宋" w:hAnsi="仿宋" w:eastAsia="仿宋" w:cs="仿宋"/>
          <w:b/>
          <w:color w:val="auto"/>
          <w:sz w:val="24"/>
          <w:szCs w:val="24"/>
        </w:rPr>
      </w:pPr>
    </w:p>
    <w:p>
      <w:pPr>
        <w:spacing w:after="0" w:line="360" w:lineRule="auto"/>
        <w:ind w:left="844" w:leftChars="128" w:hanging="562" w:hangingChars="200"/>
        <w:jc w:val="both"/>
        <w:rPr>
          <w:rFonts w:hint="eastAsia" w:ascii="仿宋" w:hAnsi="仿宋" w:eastAsia="仿宋" w:cs="仿宋"/>
          <w:b/>
          <w:color w:val="auto"/>
          <w:sz w:val="28"/>
          <w:szCs w:val="28"/>
        </w:rPr>
      </w:pPr>
      <w:r>
        <w:rPr>
          <w:rFonts w:hint="eastAsia" w:ascii="仿宋" w:hAnsi="仿宋" w:eastAsia="仿宋" w:cs="仿宋"/>
          <w:b/>
          <w:color w:val="auto"/>
          <w:sz w:val="28"/>
          <w:szCs w:val="28"/>
        </w:rPr>
        <w:t>（2）收油系统作业时注意事项</w:t>
      </w:r>
    </w:p>
    <w:p>
      <w:pPr>
        <w:spacing w:line="360" w:lineRule="auto"/>
        <w:ind w:firstLine="280" w:firstLineChars="100"/>
        <w:jc w:val="both"/>
        <w:rPr>
          <w:rFonts w:hint="eastAsia" w:ascii="仿宋" w:hAnsi="仿宋" w:eastAsia="仿宋" w:cs="仿宋"/>
          <w:color w:val="auto"/>
          <w:sz w:val="28"/>
          <w:szCs w:val="28"/>
        </w:rPr>
      </w:pP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波高、风浪以及流速将限制收油系统的性能，有一些收油机有可能失效，此时使用抗风浪、抗水流性能良好的DIP式收油机。</w:t>
      </w:r>
    </w:p>
    <w:p>
      <w:pPr>
        <w:spacing w:line="360" w:lineRule="auto"/>
        <w:ind w:firstLine="280" w:firstLineChars="100"/>
        <w:jc w:val="both"/>
        <w:rPr>
          <w:rFonts w:hint="eastAsia" w:ascii="仿宋" w:hAnsi="仿宋" w:eastAsia="仿宋" w:cs="仿宋"/>
          <w:color w:val="auto"/>
          <w:sz w:val="28"/>
          <w:szCs w:val="28"/>
        </w:rPr>
      </w:pP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在多船作业时需要在1-2节航速下联合操作，几艘船和围油栏拖曳的协调非常困难的，本公司将选择优秀的船员和操作人员进行，并注重日常训练。</w:t>
      </w:r>
    </w:p>
    <w:p>
      <w:pPr>
        <w:spacing w:line="360" w:lineRule="auto"/>
        <w:ind w:firstLine="280" w:firstLineChars="100"/>
        <w:jc w:val="both"/>
        <w:rPr>
          <w:rFonts w:hint="eastAsia" w:ascii="仿宋" w:hAnsi="仿宋" w:eastAsia="仿宋" w:cs="仿宋"/>
          <w:sz w:val="28"/>
          <w:szCs w:val="28"/>
        </w:rPr>
      </w:pPr>
      <w:r>
        <w:rPr>
          <w:rFonts w:hint="eastAsia" w:ascii="仿宋" w:hAnsi="仿宋" w:eastAsia="仿宋" w:cs="仿宋"/>
          <w:sz w:val="28"/>
          <w:szCs w:val="28"/>
        </w:rPr>
        <w:t>◆</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为了以最快的速度与油膜会合，二艘船拖曳围油栏的适宜长度为400 m至600 m。拖曳时防止在高速拖曳时，围油栏被扭成螺旋状。为避免被拖曳的围油栏突然受力，围油栏与拖曳船之间的绳索必须有足够的长度，60 m或更长些适合于拖曳400 m围油栏。在低速拖曳时，围油栏的最佳拖曳点需要根据风向和拖曳方向来改变。</w:t>
      </w:r>
    </w:p>
    <w:p>
      <w:pPr>
        <w:spacing w:line="360" w:lineRule="auto"/>
        <w:ind w:firstLine="280" w:firstLineChars="100"/>
        <w:jc w:val="both"/>
        <w:rPr>
          <w:rFonts w:hint="eastAsia" w:ascii="仿宋" w:hAnsi="仿宋" w:eastAsia="仿宋" w:cs="仿宋"/>
          <w:color w:val="auto"/>
          <w:sz w:val="28"/>
          <w:szCs w:val="28"/>
        </w:rPr>
      </w:pP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当拖曳"U"形围油栏时，围油栏的节数一般取为奇数，以避免围油栏每节之间的连接处处于"U"形的顶端，使油从围油栏的连接处逃逸。布栏成形后，以低速（小于0.5 m/s）在海上拖曳，油膜可缓慢地聚集在拖曳的围油栏中，聚集的油可用收油机回收。</w:t>
      </w:r>
    </w:p>
    <w:p>
      <w:pPr>
        <w:spacing w:line="360" w:lineRule="auto"/>
        <w:ind w:firstLine="280" w:firstLineChars="100"/>
        <w:jc w:val="both"/>
        <w:rPr>
          <w:rFonts w:hint="eastAsia" w:ascii="仿宋" w:hAnsi="仿宋" w:eastAsia="仿宋" w:cs="仿宋"/>
          <w:color w:val="auto"/>
          <w:sz w:val="28"/>
          <w:szCs w:val="28"/>
        </w:rPr>
      </w:pP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围油栏的围拦效果可以通过眼睛观察"U"形或"V"形顶端来判断。如果观察到有油滴在围油栏后部上升，说明有油从围油栏下部逸出。若在围油栏后部出现漩涡则说明围油栏拖曳太快。但是即使围油栏发挥的性能很好，其后也会出现带光泽的油膜。</w:t>
      </w:r>
    </w:p>
    <w:p>
      <w:pPr>
        <w:keepLines w:val="0"/>
        <w:pageBreakBefore w:val="0"/>
        <w:widowControl/>
        <w:numPr>
          <w:ilvl w:val="0"/>
          <w:numId w:val="0"/>
        </w:numPr>
        <w:tabs>
          <w:tab w:val="left" w:pos="720"/>
        </w:tabs>
        <w:kinsoku/>
        <w:wordWrap/>
        <w:overflowPunct/>
        <w:topLinePunct w:val="0"/>
        <w:autoSpaceDE/>
        <w:autoSpaceDN/>
        <w:bidi w:val="0"/>
        <w:adjustRightInd/>
        <w:snapToGrid/>
        <w:spacing w:line="360" w:lineRule="auto"/>
        <w:ind w:right="0" w:rightChars="0" w:firstLine="280" w:firstLineChars="1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在实际作业时，从拖带船的船舱中是看不到油膜的，也看不到围油栏的顶端。因此需要有电台进行通讯的船舶来指挥拖带船的行动，从而可有效地围栏和聚集漂浮的油膜。</w:t>
      </w:r>
    </w:p>
    <w:p>
      <w:pPr>
        <w:spacing w:line="360" w:lineRule="auto"/>
        <w:ind w:firstLine="280" w:firstLineChars="100"/>
        <w:jc w:val="both"/>
        <w:rPr>
          <w:rFonts w:hint="eastAsia" w:ascii="仿宋" w:hAnsi="仿宋" w:eastAsia="仿宋" w:cs="仿宋"/>
          <w:color w:val="auto"/>
          <w:sz w:val="28"/>
          <w:szCs w:val="28"/>
        </w:rPr>
      </w:pP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如果预计回收的油水混合物的量超过回收作业船储油舱的容量时，则需另外配备船舶或油囊等，以便转移回收作业船舱中的油水混合物，并输送至近岸设施。选择回收效率最高的动态斜面收油机，可以节省溢油现场宝贵的储油空间。</w:t>
      </w:r>
    </w:p>
    <w:p>
      <w:pPr>
        <w:spacing w:line="360" w:lineRule="auto"/>
        <w:ind w:firstLine="562" w:firstLineChars="200"/>
        <w:jc w:val="both"/>
        <w:rPr>
          <w:rFonts w:hint="eastAsia" w:ascii="仿宋" w:hAnsi="仿宋" w:eastAsia="仿宋" w:cs="仿宋"/>
          <w:b/>
          <w:bCs/>
          <w:color w:val="auto"/>
          <w:sz w:val="28"/>
          <w:szCs w:val="28"/>
        </w:rPr>
      </w:pPr>
      <w:bookmarkStart w:id="79" w:name="_Toc12681"/>
      <w:r>
        <w:rPr>
          <w:rFonts w:hint="eastAsia" w:ascii="仿宋" w:hAnsi="仿宋" w:eastAsia="仿宋" w:cs="仿宋"/>
          <w:b/>
          <w:bCs/>
          <w:color w:val="auto"/>
          <w:sz w:val="28"/>
          <w:szCs w:val="28"/>
          <w:lang w:val="en-US" w:eastAsia="zh-CN"/>
        </w:rPr>
        <w:t>6</w:t>
      </w:r>
      <w:r>
        <w:rPr>
          <w:rFonts w:hint="eastAsia" w:ascii="仿宋" w:hAnsi="仿宋" w:eastAsia="仿宋" w:cs="仿宋"/>
          <w:b/>
          <w:bCs/>
          <w:color w:val="auto"/>
          <w:sz w:val="28"/>
          <w:szCs w:val="28"/>
        </w:rPr>
        <w:t>.2.2</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溢油分散剂使用</w:t>
      </w:r>
      <w:bookmarkEnd w:id="79"/>
    </w:p>
    <w:p>
      <w:pPr>
        <w:spacing w:line="360" w:lineRule="auto"/>
        <w:ind w:firstLine="562" w:firstLineChars="200"/>
        <w:jc w:val="both"/>
        <w:rPr>
          <w:rFonts w:hint="eastAsia" w:ascii="仿宋" w:hAnsi="仿宋" w:eastAsia="仿宋" w:cs="仿宋"/>
          <w:b/>
          <w:bCs/>
          <w:color w:val="auto"/>
          <w:sz w:val="28"/>
          <w:szCs w:val="28"/>
        </w:rPr>
      </w:pPr>
      <w:r>
        <w:rPr>
          <w:rFonts w:hint="eastAsia" w:ascii="仿宋" w:hAnsi="仿宋" w:eastAsia="仿宋" w:cs="仿宋"/>
          <w:b/>
          <w:bCs/>
          <w:color w:val="auto"/>
          <w:sz w:val="28"/>
          <w:szCs w:val="28"/>
          <w:lang w:val="en-US" w:eastAsia="zh-CN"/>
        </w:rPr>
        <w:t xml:space="preserve">6.2.2.1 </w:t>
      </w:r>
      <w:r>
        <w:rPr>
          <w:rFonts w:hint="eastAsia" w:ascii="仿宋" w:hAnsi="仿宋" w:eastAsia="仿宋" w:cs="仿宋"/>
          <w:b/>
          <w:bCs/>
          <w:color w:val="auto"/>
          <w:sz w:val="28"/>
          <w:szCs w:val="28"/>
        </w:rPr>
        <w:t>本公司溢油分散剂的配备情况</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本公司配有常规性溢油分散剂</w:t>
      </w:r>
      <w:r>
        <w:rPr>
          <w:rFonts w:hint="eastAsia" w:ascii="仿宋" w:hAnsi="仿宋" w:eastAsia="仿宋" w:cs="仿宋"/>
          <w:color w:val="auto"/>
          <w:sz w:val="28"/>
          <w:szCs w:val="28"/>
          <w:lang w:val="en-US" w:eastAsia="zh-CN"/>
        </w:rPr>
        <w:t>7</w:t>
      </w:r>
      <w:r>
        <w:rPr>
          <w:rFonts w:hint="eastAsia" w:ascii="仿宋" w:hAnsi="仿宋" w:eastAsia="仿宋" w:cs="仿宋"/>
          <w:color w:val="auto"/>
          <w:sz w:val="28"/>
          <w:szCs w:val="28"/>
        </w:rPr>
        <w:t>吨，生物降解消油剂5吨，具体见表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-9。</w:t>
      </w:r>
    </w:p>
    <w:p>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-9 本公司溢油分散剂配备情况表</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01"/>
        <w:gridCol w:w="1584"/>
        <w:gridCol w:w="1120"/>
        <w:gridCol w:w="889"/>
        <w:gridCol w:w="1033"/>
        <w:gridCol w:w="347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7" w:hRule="exact"/>
          <w:jc w:val="center"/>
        </w:trPr>
        <w:tc>
          <w:tcPr>
            <w:tcW w:w="828"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序号</w:t>
            </w:r>
          </w:p>
        </w:tc>
        <w:tc>
          <w:tcPr>
            <w:tcW w:w="1455"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名称</w:t>
            </w:r>
          </w:p>
        </w:tc>
        <w:tc>
          <w:tcPr>
            <w:tcW w:w="1029"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型号</w:t>
            </w:r>
          </w:p>
        </w:tc>
        <w:tc>
          <w:tcPr>
            <w:tcW w:w="816"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数量</w:t>
            </w:r>
          </w:p>
        </w:tc>
        <w:tc>
          <w:tcPr>
            <w:tcW w:w="948"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厂家</w:t>
            </w:r>
          </w:p>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名称</w:t>
            </w:r>
          </w:p>
        </w:tc>
        <w:tc>
          <w:tcPr>
            <w:tcW w:w="3194" w:type="dxa"/>
            <w:tcBorders>
              <w:tl2br w:val="nil"/>
              <w:tr2bl w:val="nil"/>
            </w:tcBorders>
            <w:noWrap w:val="0"/>
            <w:vAlign w:val="center"/>
          </w:tcPr>
          <w:p>
            <w:pPr>
              <w:spacing w:line="240" w:lineRule="auto"/>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主要技术参数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672" w:hRule="exact"/>
          <w:jc w:val="center"/>
        </w:trPr>
        <w:tc>
          <w:tcPr>
            <w:tcW w:w="828"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145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溢油分散剂</w:t>
            </w:r>
          </w:p>
        </w:tc>
        <w:tc>
          <w:tcPr>
            <w:tcW w:w="1029" w:type="dxa"/>
            <w:tcBorders>
              <w:tl2br w:val="nil"/>
              <w:tr2bl w:val="nil"/>
            </w:tcBorders>
            <w:noWrap w:val="0"/>
            <w:vAlign w:val="center"/>
          </w:tcPr>
          <w:p>
            <w:pPr>
              <w:spacing w:line="240" w:lineRule="auto"/>
              <w:jc w:val="center"/>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富肯2号</w:t>
            </w:r>
          </w:p>
        </w:tc>
        <w:tc>
          <w:tcPr>
            <w:tcW w:w="816"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7</w:t>
            </w:r>
            <w:r>
              <w:rPr>
                <w:rFonts w:hint="eastAsia" w:ascii="仿宋" w:hAnsi="仿宋" w:eastAsia="仿宋" w:cs="仿宋"/>
                <w:color w:val="auto"/>
                <w:sz w:val="24"/>
                <w:szCs w:val="24"/>
              </w:rPr>
              <w:t>吨</w:t>
            </w:r>
          </w:p>
        </w:tc>
        <w:tc>
          <w:tcPr>
            <w:tcW w:w="948" w:type="dxa"/>
            <w:tcBorders>
              <w:tl2br w:val="nil"/>
              <w:tr2bl w:val="nil"/>
            </w:tcBorders>
            <w:noWrap w:val="0"/>
            <w:vAlign w:val="center"/>
          </w:tcPr>
          <w:p>
            <w:pPr>
              <w:spacing w:line="240" w:lineRule="auto"/>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广州</w:t>
            </w:r>
          </w:p>
          <w:p>
            <w:pPr>
              <w:spacing w:line="240" w:lineRule="auto"/>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富肯</w:t>
            </w:r>
          </w:p>
        </w:tc>
        <w:tc>
          <w:tcPr>
            <w:tcW w:w="3194" w:type="dxa"/>
            <w:tcBorders>
              <w:tl2br w:val="nil"/>
              <w:tr2bl w:val="nil"/>
            </w:tcBorders>
            <w:noWrap w:val="0"/>
            <w:vAlign w:val="center"/>
          </w:tcPr>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外观：清澈、透明、</w:t>
            </w:r>
            <w:r>
              <w:rPr>
                <w:rFonts w:hint="eastAsia" w:ascii="仿宋" w:hAnsi="仿宋" w:eastAsia="仿宋" w:cs="仿宋"/>
                <w:color w:val="auto"/>
                <w:sz w:val="24"/>
                <w:szCs w:val="24"/>
                <w:lang w:eastAsia="zh-CN"/>
              </w:rPr>
              <w:t>无</w:t>
            </w:r>
            <w:r>
              <w:rPr>
                <w:rFonts w:hint="eastAsia" w:ascii="仿宋" w:hAnsi="仿宋" w:eastAsia="仿宋" w:cs="仿宋"/>
                <w:color w:val="auto"/>
                <w:sz w:val="24"/>
                <w:szCs w:val="24"/>
              </w:rPr>
              <w:t>分层</w:t>
            </w:r>
          </w:p>
          <w:p>
            <w:pPr>
              <w:spacing w:line="240" w:lineRule="auto"/>
              <w:jc w:val="both"/>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rPr>
              <w:t>PH：7</w:t>
            </w:r>
            <w:r>
              <w:rPr>
                <w:rFonts w:hint="eastAsia" w:ascii="仿宋" w:hAnsi="仿宋" w:eastAsia="仿宋" w:cs="仿宋"/>
                <w:color w:val="auto"/>
                <w:sz w:val="24"/>
                <w:szCs w:val="24"/>
                <w:lang w:val="en-US" w:eastAsia="zh-CN"/>
              </w:rPr>
              <w:t>-7.5</w:t>
            </w:r>
          </w:p>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燃点＞70℃</w:t>
            </w:r>
          </w:p>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lang w:eastAsia="zh-CN"/>
              </w:rPr>
              <w:t>运动粘</w:t>
            </w:r>
            <w:r>
              <w:rPr>
                <w:rFonts w:hint="eastAsia" w:ascii="仿宋" w:hAnsi="仿宋" w:eastAsia="仿宋" w:cs="仿宋"/>
                <w:color w:val="auto"/>
                <w:sz w:val="24"/>
                <w:szCs w:val="24"/>
              </w:rPr>
              <w:t>度</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lang w:val="en-US" w:eastAsia="zh-CN"/>
              </w:rPr>
              <w:t>30℃</w:t>
            </w:r>
            <w:r>
              <w:rPr>
                <w:rFonts w:hint="eastAsia" w:ascii="仿宋" w:hAnsi="仿宋" w:eastAsia="仿宋" w:cs="仿宋"/>
                <w:color w:val="auto"/>
                <w:sz w:val="24"/>
                <w:szCs w:val="24"/>
                <w:lang w:eastAsia="zh-CN"/>
              </w:rPr>
              <w:t>）</w:t>
            </w:r>
            <w:r>
              <w:rPr>
                <w:rFonts w:hint="eastAsia" w:ascii="仿宋" w:hAnsi="仿宋" w:eastAsia="仿宋" w:cs="仿宋"/>
                <w:color w:val="auto"/>
                <w:sz w:val="24"/>
                <w:szCs w:val="24"/>
              </w:rPr>
              <w:t>：50mm²/s</w:t>
            </w:r>
          </w:p>
          <w:p>
            <w:pPr>
              <w:spacing w:line="240" w:lineRule="auto"/>
              <w:jc w:val="both"/>
              <w:rPr>
                <w:rFonts w:hint="eastAsia" w:ascii="仿宋" w:hAnsi="仿宋" w:eastAsia="仿宋" w:cs="仿宋"/>
                <w:color w:val="auto"/>
                <w:sz w:val="24"/>
                <w:szCs w:val="24"/>
              </w:rPr>
            </w:pPr>
            <w:r>
              <w:rPr>
                <w:rFonts w:hint="eastAsia" w:ascii="仿宋" w:hAnsi="仿宋" w:eastAsia="仿宋" w:cs="仿宋"/>
                <w:color w:val="auto"/>
                <w:sz w:val="24"/>
                <w:szCs w:val="24"/>
              </w:rPr>
              <w:t>生物降解率＞30%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327" w:hRule="exact"/>
          <w:jc w:val="center"/>
        </w:trPr>
        <w:tc>
          <w:tcPr>
            <w:tcW w:w="828" w:type="dxa"/>
            <w:tcBorders>
              <w:tl2br w:val="nil"/>
              <w:tr2bl w:val="nil"/>
            </w:tcBorders>
            <w:noWrap w:val="0"/>
            <w:vAlign w:val="center"/>
          </w:tcPr>
          <w:p>
            <w:pPr>
              <w:spacing w:line="240" w:lineRule="auto"/>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2</w:t>
            </w:r>
          </w:p>
        </w:tc>
        <w:tc>
          <w:tcPr>
            <w:tcW w:w="1455" w:type="dxa"/>
            <w:tcBorders>
              <w:tl2br w:val="nil"/>
              <w:tr2bl w:val="nil"/>
            </w:tcBorders>
            <w:noWrap w:val="0"/>
            <w:vAlign w:val="center"/>
          </w:tcPr>
          <w:p>
            <w:pPr>
              <w:spacing w:line="240" w:lineRule="auto"/>
              <w:jc w:val="center"/>
              <w:rPr>
                <w:rFonts w:hint="eastAsia" w:ascii="仿宋" w:hAnsi="仿宋" w:eastAsia="仿宋" w:cs="仿宋"/>
                <w:color w:val="auto"/>
                <w:sz w:val="24"/>
                <w:szCs w:val="24"/>
              </w:rPr>
            </w:pPr>
            <w:r>
              <w:rPr>
                <w:rFonts w:hint="eastAsia" w:ascii="仿宋" w:hAnsi="仿宋" w:eastAsia="仿宋" w:cs="仿宋"/>
                <w:color w:val="auto"/>
                <w:sz w:val="24"/>
                <w:szCs w:val="24"/>
              </w:rPr>
              <w:t>溢油分散剂</w:t>
            </w:r>
          </w:p>
        </w:tc>
        <w:tc>
          <w:tcPr>
            <w:tcW w:w="1029" w:type="dxa"/>
            <w:tcBorders>
              <w:tl2br w:val="nil"/>
              <w:tr2bl w:val="nil"/>
            </w:tcBorders>
            <w:noWrap w:val="0"/>
            <w:vAlign w:val="center"/>
          </w:tcPr>
          <w:p>
            <w:pPr>
              <w:spacing w:line="240" w:lineRule="auto"/>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生物降解型</w:t>
            </w:r>
          </w:p>
        </w:tc>
        <w:tc>
          <w:tcPr>
            <w:tcW w:w="816" w:type="dxa"/>
            <w:tcBorders>
              <w:tl2br w:val="nil"/>
              <w:tr2bl w:val="nil"/>
            </w:tcBorders>
            <w:noWrap w:val="0"/>
            <w:vAlign w:val="center"/>
          </w:tcPr>
          <w:p>
            <w:pPr>
              <w:spacing w:line="240" w:lineRule="auto"/>
              <w:jc w:val="center"/>
              <w:rPr>
                <w:rFonts w:hint="default"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5吨</w:t>
            </w:r>
          </w:p>
        </w:tc>
        <w:tc>
          <w:tcPr>
            <w:tcW w:w="948" w:type="dxa"/>
            <w:tcBorders>
              <w:tl2br w:val="nil"/>
              <w:tr2bl w:val="nil"/>
            </w:tcBorders>
            <w:noWrap w:val="0"/>
            <w:vAlign w:val="center"/>
          </w:tcPr>
          <w:p>
            <w:pPr>
              <w:spacing w:line="240" w:lineRule="auto"/>
              <w:jc w:val="center"/>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北京威业源</w:t>
            </w:r>
          </w:p>
        </w:tc>
        <w:tc>
          <w:tcPr>
            <w:tcW w:w="3194" w:type="dxa"/>
            <w:tcBorders>
              <w:tl2br w:val="nil"/>
              <w:tr2bl w:val="nil"/>
            </w:tcBorders>
            <w:noWrap w:val="0"/>
            <w:vAlign w:val="center"/>
          </w:tcPr>
          <w:p>
            <w:pPr>
              <w:spacing w:line="240" w:lineRule="auto"/>
              <w:jc w:val="both"/>
              <w:rPr>
                <w:rFonts w:hint="eastAsia" w:ascii="仿宋" w:hAnsi="仿宋" w:eastAsia="仿宋" w:cs="仿宋"/>
                <w:color w:val="auto"/>
                <w:sz w:val="24"/>
                <w:szCs w:val="24"/>
              </w:rPr>
            </w:pPr>
          </w:p>
          <w:p>
            <w:pPr>
              <w:spacing w:line="240" w:lineRule="auto"/>
              <w:jc w:val="both"/>
              <w:rPr>
                <w:rFonts w:hint="eastAsia" w:ascii="仿宋" w:hAnsi="仿宋" w:eastAsia="仿宋" w:cs="仿宋"/>
                <w:color w:val="auto"/>
                <w:sz w:val="24"/>
                <w:szCs w:val="24"/>
              </w:rPr>
            </w:pPr>
          </w:p>
          <w:p>
            <w:pPr>
              <w:spacing w:line="240" w:lineRule="auto"/>
              <w:jc w:val="both"/>
              <w:rPr>
                <w:rFonts w:hint="eastAsia" w:ascii="仿宋" w:hAnsi="仿宋" w:eastAsia="仿宋" w:cs="仿宋"/>
                <w:color w:val="auto"/>
                <w:sz w:val="24"/>
                <w:szCs w:val="24"/>
              </w:rPr>
            </w:pPr>
          </w:p>
          <w:p>
            <w:pPr>
              <w:spacing w:line="240" w:lineRule="auto"/>
              <w:jc w:val="both"/>
              <w:rPr>
                <w:rFonts w:hint="eastAsia" w:ascii="仿宋" w:hAnsi="仿宋" w:eastAsia="仿宋" w:cs="仿宋"/>
                <w:color w:val="auto"/>
                <w:sz w:val="24"/>
                <w:szCs w:val="24"/>
              </w:rPr>
            </w:pPr>
          </w:p>
          <w:p>
            <w:pPr>
              <w:spacing w:line="240" w:lineRule="auto"/>
              <w:jc w:val="both"/>
              <w:rPr>
                <w:rFonts w:hint="eastAsia" w:ascii="仿宋" w:hAnsi="仿宋" w:eastAsia="仿宋" w:cs="仿宋"/>
                <w:color w:val="auto"/>
                <w:sz w:val="24"/>
                <w:szCs w:val="24"/>
              </w:rPr>
            </w:pPr>
          </w:p>
          <w:p>
            <w:pPr>
              <w:spacing w:line="240" w:lineRule="auto"/>
              <w:jc w:val="both"/>
              <w:rPr>
                <w:rFonts w:hint="eastAsia" w:ascii="仿宋" w:hAnsi="仿宋" w:eastAsia="仿宋" w:cs="仿宋"/>
                <w:color w:val="auto"/>
                <w:sz w:val="24"/>
                <w:szCs w:val="24"/>
              </w:rPr>
            </w:pPr>
          </w:p>
        </w:tc>
      </w:tr>
    </w:tbl>
    <w:p>
      <w:pPr>
        <w:keepNext/>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outlineLvl w:val="9"/>
        <w:rPr>
          <w:rFonts w:hint="eastAsia" w:ascii="仿宋" w:hAnsi="仿宋" w:eastAsia="仿宋" w:cs="仿宋"/>
          <w:b/>
          <w:bCs/>
          <w:color w:val="auto"/>
          <w:sz w:val="28"/>
          <w:szCs w:val="28"/>
          <w:lang w:val="en-US" w:eastAsia="zh-CN" w:bidi="ar-SA"/>
        </w:rPr>
      </w:pPr>
    </w:p>
    <w:p>
      <w:pPr>
        <w:keepNext/>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outlineLvl w:val="3"/>
        <w:rPr>
          <w:rFonts w:hint="eastAsia" w:ascii="仿宋" w:hAnsi="仿宋" w:eastAsia="仿宋" w:cs="仿宋"/>
          <w:b/>
          <w:bCs/>
          <w:color w:val="auto"/>
          <w:sz w:val="28"/>
          <w:szCs w:val="28"/>
          <w:lang w:val="en-US" w:eastAsia="zh-CN" w:bidi="ar-SA"/>
        </w:rPr>
      </w:pPr>
      <w:r>
        <w:rPr>
          <w:rFonts w:hint="eastAsia" w:ascii="仿宋" w:hAnsi="仿宋" w:eastAsia="仿宋" w:cs="仿宋"/>
          <w:b/>
          <w:bCs/>
          <w:color w:val="auto"/>
          <w:sz w:val="28"/>
          <w:szCs w:val="28"/>
          <w:lang w:val="en-US" w:eastAsia="zh-CN" w:bidi="ar-SA"/>
        </w:rPr>
        <w:t>6.2.2.2 分散效率影响因素及使用比率</w:t>
      </w:r>
    </w:p>
    <w:p>
      <w:pPr>
        <w:keepLines w:val="0"/>
        <w:pageBreakBefore w:val="0"/>
        <w:widowControl/>
        <w:kinsoku/>
        <w:wordWrap/>
        <w:overflowPunct/>
        <w:topLinePunct w:val="0"/>
        <w:autoSpaceDE/>
        <w:autoSpaceDN/>
        <w:bidi w:val="0"/>
        <w:adjustRightInd/>
        <w:snapToGrid/>
        <w:spacing w:before="0" w:after="0" w:line="360" w:lineRule="auto"/>
        <w:ind w:left="0" w:right="0" w:firstLine="562" w:firstLineChars="200"/>
        <w:jc w:val="both"/>
        <w:textAlignment w:val="auto"/>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（1）影响分散效能的因素</w:t>
      </w:r>
    </w:p>
    <w:p>
      <w:pPr>
        <w:keepLines w:val="0"/>
        <w:pageBreakBefore w:val="0"/>
        <w:widowControl/>
        <w:numPr>
          <w:ilvl w:val="0"/>
          <w:numId w:val="0"/>
        </w:numPr>
        <w:tabs>
          <w:tab w:val="left" w:pos="720"/>
        </w:tabs>
        <w:kinsoku/>
        <w:wordWrap/>
        <w:overflowPunct/>
        <w:topLinePunct w:val="0"/>
        <w:autoSpaceDE/>
        <w:autoSpaceDN/>
        <w:bidi w:val="0"/>
        <w:adjustRightInd/>
        <w:snapToGrid/>
        <w:spacing w:before="0" w:after="0" w:line="360" w:lineRule="auto"/>
        <w:ind w:right="0" w:rightChars="0" w:firstLine="562" w:firstLineChars="200"/>
        <w:jc w:val="both"/>
        <w:textAlignment w:val="auto"/>
        <w:outlineLvl w:val="9"/>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w:t>
      </w:r>
      <w:r>
        <w:rPr>
          <w:rFonts w:hint="eastAsia" w:ascii="仿宋" w:hAnsi="仿宋" w:eastAsia="仿宋" w:cs="仿宋"/>
          <w:b/>
          <w:color w:val="auto"/>
          <w:sz w:val="28"/>
          <w:szCs w:val="28"/>
          <w:lang w:val="en-US" w:eastAsia="zh-CN" w:bidi="ar-SA"/>
        </w:rPr>
        <w:t xml:space="preserve"> </w:t>
      </w:r>
      <w:r>
        <w:rPr>
          <w:rFonts w:hint="eastAsia" w:ascii="仿宋" w:hAnsi="仿宋" w:eastAsia="仿宋" w:cs="仿宋"/>
          <w:b/>
          <w:color w:val="auto"/>
          <w:sz w:val="28"/>
          <w:szCs w:val="28"/>
          <w:lang w:val="en-US" w:bidi="ar-SA"/>
        </w:rPr>
        <w:t>油的粘度和倾点</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分散剂不适用高粘性的油。油的粘度越低，分散效能越高，如果油的粘度很大，分散剂就会失效。一般情况下，油的动力粘度低于2000厘泊时，分散剂的分散效能较高。一旦油的粘度超过了2000厘泊，分散剂的分散效能降低。当油的粘度达到5000～10000厘泊时，分散剂基本失去作用。</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油的倾点也影响分散剂的分散效能。当油的倾点大于或接近于环境温度时，分散剂的分散效能较低。一般情况下，油的倾点低于环境温度5℃左右，可以使用分散剂。</w:t>
      </w: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lang w:val="en-US"/>
        </w:rPr>
        <w:t>油的风化程度</w:t>
      </w: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溢油经过一定时间后，会蒸发、乳化，致使粘度增大，形成“油包水”型乳化物，使分散剂对其失去了分散作用。即使是粘度和倾点较低的油，在溢出两天之后使用分散剂，分散效能也会下降，甚至难以分散。</w:t>
      </w:r>
    </w:p>
    <w:p>
      <w:pPr>
        <w:keepLines w:val="0"/>
        <w:pageBreakBefore w:val="0"/>
        <w:widowControl/>
        <w:numPr>
          <w:ilvl w:val="0"/>
          <w:numId w:val="0"/>
        </w:numPr>
        <w:tabs>
          <w:tab w:val="left" w:pos="720"/>
        </w:tabs>
        <w:kinsoku/>
        <w:wordWrap/>
        <w:overflowPunct/>
        <w:topLinePunct w:val="0"/>
        <w:autoSpaceDE/>
        <w:autoSpaceDN/>
        <w:bidi w:val="0"/>
        <w:adjustRightInd/>
        <w:snapToGrid/>
        <w:spacing w:before="0" w:after="0" w:line="360" w:lineRule="auto"/>
        <w:ind w:left="480" w:leftChars="0" w:right="0" w:rightChars="0"/>
        <w:jc w:val="both"/>
        <w:textAlignment w:val="auto"/>
        <w:outlineLvl w:val="9"/>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w:t>
      </w:r>
      <w:r>
        <w:rPr>
          <w:rFonts w:hint="eastAsia" w:ascii="仿宋" w:hAnsi="仿宋" w:eastAsia="仿宋" w:cs="仿宋"/>
          <w:b/>
          <w:color w:val="auto"/>
          <w:sz w:val="28"/>
          <w:szCs w:val="28"/>
          <w:lang w:val="en-US" w:eastAsia="zh-CN" w:bidi="ar-SA"/>
        </w:rPr>
        <w:t xml:space="preserve"> </w:t>
      </w:r>
      <w:r>
        <w:rPr>
          <w:rFonts w:hint="eastAsia" w:ascii="仿宋" w:hAnsi="仿宋" w:eastAsia="仿宋" w:cs="仿宋"/>
          <w:b/>
          <w:color w:val="auto"/>
          <w:sz w:val="28"/>
          <w:szCs w:val="28"/>
          <w:lang w:val="en-US" w:bidi="ar-SA"/>
        </w:rPr>
        <w:t>盐度及温度</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大多数分散剂在海水中的分散效能比在淡水中好，并且水温越高，分散作用越好，原因是温度升高，则油的粘度降低。</w:t>
      </w:r>
    </w:p>
    <w:p>
      <w:pPr>
        <w:keepLines w:val="0"/>
        <w:pageBreakBefore w:val="0"/>
        <w:widowControl/>
        <w:numPr>
          <w:ilvl w:val="0"/>
          <w:numId w:val="0"/>
        </w:numPr>
        <w:tabs>
          <w:tab w:val="left" w:pos="720"/>
        </w:tabs>
        <w:kinsoku/>
        <w:wordWrap/>
        <w:overflowPunct/>
        <w:topLinePunct w:val="0"/>
        <w:autoSpaceDE/>
        <w:autoSpaceDN/>
        <w:bidi w:val="0"/>
        <w:adjustRightInd/>
        <w:snapToGrid/>
        <w:spacing w:before="0" w:after="0" w:line="360" w:lineRule="auto"/>
        <w:ind w:left="480" w:leftChars="0" w:right="0" w:rightChars="0"/>
        <w:jc w:val="both"/>
        <w:textAlignment w:val="auto"/>
        <w:outlineLvl w:val="9"/>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w:t>
      </w:r>
      <w:r>
        <w:rPr>
          <w:rFonts w:hint="eastAsia" w:ascii="仿宋" w:hAnsi="仿宋" w:eastAsia="仿宋" w:cs="仿宋"/>
          <w:b/>
          <w:color w:val="auto"/>
          <w:sz w:val="28"/>
          <w:szCs w:val="28"/>
          <w:lang w:val="en-US" w:eastAsia="zh-CN" w:bidi="ar-SA"/>
        </w:rPr>
        <w:t xml:space="preserve"> 分</w:t>
      </w:r>
      <w:r>
        <w:rPr>
          <w:rFonts w:hint="eastAsia" w:ascii="仿宋" w:hAnsi="仿宋" w:eastAsia="仿宋" w:cs="仿宋"/>
          <w:b/>
          <w:color w:val="auto"/>
          <w:sz w:val="28"/>
          <w:szCs w:val="28"/>
          <w:lang w:val="en-US" w:bidi="ar-SA"/>
        </w:rPr>
        <w:t>散剂本身的特性</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由于分散剂的组成不完全相同，所用的溶剂也不同，因此对溢油的分散能力也不同。如常规型分散剂更适用于高粘度油，这是因为常规型分散剂的溶剂是烃类化合物，对油有着较好的溶解性，使分散剂容易渗入油层中。</w:t>
      </w:r>
    </w:p>
    <w:p>
      <w:pPr>
        <w:keepLines w:val="0"/>
        <w:pageBreakBefore w:val="0"/>
        <w:widowControl/>
        <w:numPr>
          <w:ilvl w:val="0"/>
          <w:numId w:val="0"/>
        </w:numPr>
        <w:tabs>
          <w:tab w:val="left" w:pos="720"/>
        </w:tabs>
        <w:kinsoku/>
        <w:wordWrap/>
        <w:overflowPunct/>
        <w:topLinePunct w:val="0"/>
        <w:autoSpaceDE/>
        <w:autoSpaceDN/>
        <w:bidi w:val="0"/>
        <w:adjustRightInd/>
        <w:snapToGrid/>
        <w:spacing w:before="0" w:after="0" w:line="360" w:lineRule="auto"/>
        <w:ind w:left="480" w:leftChars="0" w:right="0" w:rightChars="0"/>
        <w:jc w:val="both"/>
        <w:textAlignment w:val="auto"/>
        <w:outlineLvl w:val="9"/>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w:t>
      </w:r>
      <w:r>
        <w:rPr>
          <w:rFonts w:hint="eastAsia" w:ascii="仿宋" w:hAnsi="仿宋" w:eastAsia="仿宋" w:cs="仿宋"/>
          <w:b/>
          <w:color w:val="auto"/>
          <w:sz w:val="28"/>
          <w:szCs w:val="28"/>
          <w:lang w:val="en-US" w:eastAsia="zh-CN" w:bidi="ar-SA"/>
        </w:rPr>
        <w:t xml:space="preserve"> </w:t>
      </w:r>
      <w:r>
        <w:rPr>
          <w:rFonts w:hint="eastAsia" w:ascii="仿宋" w:hAnsi="仿宋" w:eastAsia="仿宋" w:cs="仿宋"/>
          <w:b/>
          <w:color w:val="auto"/>
          <w:sz w:val="28"/>
          <w:szCs w:val="28"/>
          <w:lang w:val="en-US" w:bidi="ar-SA"/>
        </w:rPr>
        <w:t>混合搅拌</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搅拌可以使分散剂与油充分混合，以利于分散剂的溶剂进入油层中。当海况较差时，会增强分散剂的分散效果。如果在平静海面喷洒分散剂，应人为地加以搅拌。</w:t>
      </w:r>
    </w:p>
    <w:p>
      <w:pPr>
        <w:keepLines w:val="0"/>
        <w:pageBreakBefore w:val="0"/>
        <w:widowControl/>
        <w:kinsoku/>
        <w:wordWrap/>
        <w:overflowPunct/>
        <w:topLinePunct w:val="0"/>
        <w:autoSpaceDE/>
        <w:autoSpaceDN/>
        <w:bidi w:val="0"/>
        <w:adjustRightInd/>
        <w:snapToGrid/>
        <w:spacing w:before="0" w:after="0" w:line="360" w:lineRule="auto"/>
        <w:ind w:left="0" w:right="0" w:firstLine="562" w:firstLineChars="200"/>
        <w:jc w:val="both"/>
        <w:textAlignment w:val="auto"/>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（2）分散剂的使用比率</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分散剂/油的使用比率在1/100～1/10之间，视油的类型、油膜厚度而定。相同规模的溢油，比重大、粘度高、倾点高、油层厚，分散剂的使用比率大；同一规模、同一类型的溢油，油膜越厚，分散剂中的表面活性剂越不容易进入油层，分散剂的使用比率越大。因此，通常对厚油层进行回收之后，对海面的漂浮油膜使用分散剂进行处理，这样，表面活性剂容易进入油层，使分散剂保持正常的使用比率。</w:t>
      </w: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常规型分散剂溶解溢油能力强，处理高粘度油及风化油的效果好，使用时应直接喷洒，但喷洒后要搅拌。该类分散剂使用前不能用水稀释，使用比率（分散剂/油）在1：1至1：3之间为宜。</w:t>
      </w:r>
    </w:p>
    <w:p>
      <w:pPr>
        <w:spacing w:line="360" w:lineRule="auto"/>
        <w:ind w:firstLine="562" w:firstLineChars="200"/>
        <w:jc w:val="both"/>
        <w:rPr>
          <w:rFonts w:hint="eastAsia"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6.2.2.3 分散剂的使用管理</w:t>
      </w:r>
    </w:p>
    <w:p>
      <w:pPr>
        <w:spacing w:line="360" w:lineRule="auto"/>
        <w:ind w:firstLine="560" w:firstLineChars="200"/>
        <w:jc w:val="both"/>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rPr>
        <w:t>使用分散剂处理海面溢油只是改变油在海水中的存在形态，不改变溢油的化学性质，并且使用不当还会造成水体的二次污染，溢油分散剂的使用，应符合法律法规和使用准则的要求。</w:t>
      </w:r>
    </w:p>
    <w:p>
      <w:pPr>
        <w:keepLines w:val="0"/>
        <w:pageBreakBefore w:val="0"/>
        <w:widowControl/>
        <w:numPr>
          <w:ilvl w:val="0"/>
          <w:numId w:val="4"/>
        </w:numPr>
        <w:kinsoku/>
        <w:wordWrap/>
        <w:overflowPunct/>
        <w:topLinePunct w:val="0"/>
        <w:autoSpaceDE/>
        <w:autoSpaceDN/>
        <w:bidi w:val="0"/>
        <w:adjustRightInd/>
        <w:snapToGrid/>
        <w:spacing w:before="0" w:after="0" w:line="360" w:lineRule="auto"/>
        <w:ind w:left="0" w:right="0" w:firstLine="54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pacing w:val="-5"/>
          <w:sz w:val="28"/>
          <w:szCs w:val="28"/>
          <w:lang w:val="en-US" w:eastAsia="zh-CN"/>
        </w:rPr>
        <w:t>《中华人民共和国防治船舶污染内河水域环境管理规定》第十三条规定，禁止在内河水域使用溢油分散剂。</w:t>
      </w:r>
    </w:p>
    <w:p>
      <w:pPr>
        <w:keepLines w:val="0"/>
        <w:pageBreakBefore w:val="0"/>
        <w:widowControl/>
        <w:numPr>
          <w:ilvl w:val="0"/>
          <w:numId w:val="4"/>
        </w:numPr>
        <w:kinsoku/>
        <w:wordWrap/>
        <w:overflowPunct/>
        <w:topLinePunct w:val="0"/>
        <w:autoSpaceDE/>
        <w:autoSpaceDN/>
        <w:bidi w:val="0"/>
        <w:adjustRightInd/>
        <w:snapToGrid/>
        <w:spacing w:before="0" w:after="0" w:line="360" w:lineRule="auto"/>
        <w:ind w:left="0" w:leftChars="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GB18188.2-2000《溢油分散剂使用准则》规定了溢油分散剂的使用原则和限制使用原则。</w:t>
      </w:r>
    </w:p>
    <w:p>
      <w:pPr>
        <w:keepLines w:val="0"/>
        <w:pageBreakBefore w:val="0"/>
        <w:widowControl/>
        <w:numPr>
          <w:ilvl w:val="0"/>
          <w:numId w:val="4"/>
        </w:numPr>
        <w:kinsoku/>
        <w:wordWrap/>
        <w:overflowPunct/>
        <w:topLinePunct w:val="0"/>
        <w:autoSpaceDE/>
        <w:autoSpaceDN/>
        <w:bidi w:val="0"/>
        <w:adjustRightInd/>
        <w:snapToGrid/>
        <w:spacing w:before="0" w:after="0" w:line="360" w:lineRule="auto"/>
        <w:ind w:left="0" w:leftChars="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eastAsia="zh-CN" w:bidi="ar-SA"/>
        </w:rPr>
        <w:t>本公司将严格控制溢油分散剂使用，需要使用时遵循“合规、合理、谨慎”的原则，做到安全操作，并向相关主管部门报备使用情况。</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jc w:val="both"/>
        <w:textAlignment w:val="auto"/>
        <w:rPr>
          <w:rFonts w:hint="eastAsia" w:ascii="仿宋" w:hAnsi="仿宋" w:eastAsia="仿宋" w:cs="仿宋"/>
          <w:color w:val="auto"/>
          <w:sz w:val="28"/>
          <w:szCs w:val="28"/>
          <w:lang w:val="en-US" w:eastAsia="zh-CN" w:bidi="ar-SA"/>
        </w:rPr>
      </w:pPr>
    </w:p>
    <w:p>
      <w:pPr>
        <w:spacing w:line="360" w:lineRule="auto"/>
        <w:ind w:firstLine="560" w:firstLineChars="200"/>
        <w:jc w:val="both"/>
        <w:rPr>
          <w:rFonts w:hint="eastAsia" w:ascii="仿宋" w:hAnsi="仿宋" w:eastAsia="仿宋" w:cs="仿宋"/>
          <w:color w:val="auto"/>
          <w:sz w:val="28"/>
          <w:szCs w:val="28"/>
          <w:lang w:val="en-US"/>
        </w:rPr>
      </w:pP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在下述情况下可以考虑使用溢油分散剂处理水面漂浮油或事故溢油：</w:t>
      </w: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水面漂浮油或事故溢油可能向海岸、水产养殖地以及其他对溢油敏感的水域移动，威胁着商业、环境或舒适性的利益，并且在到达上述敏感区域之前既不能通过自然蒸发或者风、浪、流的作用而自行消散，也不能用物理方法围堵或回收处理；</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◆对于物理的机械的方法难于处理的溢油，采用溢油分散剂促使其向水体分散所造成的总的损害比把油留在水面上不处理的损害小；</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◆溢油发生在水深大于20m的非港区水域，可以先使用，然后向主管部门报告；</w:t>
      </w: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◆水面漂浮油或事故溢油的类型及水温适合于化学分散（一般来说，水温需高于拟处理油的倾点5℃以上），气象、海况等环境条件宜于分散油扩散；</w:t>
      </w: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◆在已经发生或可能发生油火灾、爆炸等危及人命或设施安全的不可抗拒情况下。</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下述情况不宜使用溢油分散剂但发生或可能发生危及人命或设施安全的不可抗拒的情况除外。</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●溢油为汽油、煤油等易挥发的轻质油，或呈现彩虹特征的薄油膜；</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●溢油为高蜡含量、高倾点的难于化学分散的油；</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●溢油在环境水温下不呈流态或经过几天风蚀后形成具有清晰边缘的油包水乳化物的厚碎片；</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●溢油发生在封闭的浅水区或平静的水域；</w:t>
      </w:r>
    </w:p>
    <w:p>
      <w:pPr>
        <w:keepLines w:val="0"/>
        <w:pageBreakBefore w:val="0"/>
        <w:widowControl/>
        <w:numPr>
          <w:ilvl w:val="0"/>
          <w:numId w:val="0"/>
        </w:numPr>
        <w:kinsoku/>
        <w:wordWrap/>
        <w:overflowPunct/>
        <w:topLinePunct w:val="0"/>
        <w:autoSpaceDE/>
        <w:autoSpaceDN/>
        <w:bidi w:val="0"/>
        <w:adjustRightInd/>
        <w:snapToGrid/>
        <w:spacing w:before="0" w:after="0" w:line="360" w:lineRule="auto"/>
        <w:ind w:right="0" w:rightChars="0" w:firstLine="560" w:firstLineChars="200"/>
        <w:jc w:val="both"/>
        <w:textAlignment w:val="auto"/>
        <w:rPr>
          <w:rFonts w:hint="eastAsia" w:ascii="仿宋" w:hAnsi="仿宋" w:eastAsia="仿宋" w:cs="仿宋"/>
          <w:color w:val="auto"/>
          <w:sz w:val="28"/>
          <w:szCs w:val="28"/>
          <w:lang w:val="en-US" w:bidi="ar-SA"/>
        </w:rPr>
      </w:pPr>
      <w:r>
        <w:rPr>
          <w:rFonts w:hint="eastAsia" w:ascii="仿宋" w:hAnsi="仿宋" w:eastAsia="仿宋" w:cs="仿宋"/>
          <w:color w:val="auto"/>
          <w:sz w:val="28"/>
          <w:szCs w:val="28"/>
          <w:lang w:val="en-US" w:bidi="ar-SA"/>
        </w:rPr>
        <w:t>●溢油发生在淡水水源或对水产资源有重大影响的区域。</w:t>
      </w:r>
    </w:p>
    <w:p>
      <w:pPr>
        <w:numPr>
          <w:ilvl w:val="0"/>
          <w:numId w:val="0"/>
        </w:numPr>
        <w:spacing w:line="360" w:lineRule="auto"/>
        <w:ind w:right="0" w:rightChars="0" w:firstLine="562" w:firstLineChars="200"/>
        <w:jc w:val="both"/>
        <w:rPr>
          <w:rFonts w:hint="eastAsia"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6.2.2.4 分散剂使用及限制</w:t>
      </w:r>
    </w:p>
    <w:p>
      <w:pPr>
        <w:spacing w:line="360" w:lineRule="auto"/>
        <w:ind w:firstLine="560" w:firstLineChars="200"/>
        <w:jc w:val="both"/>
        <w:rPr>
          <w:rFonts w:hint="eastAsia" w:ascii="仿宋" w:hAnsi="仿宋" w:eastAsia="仿宋" w:cs="仿宋"/>
          <w:color w:val="auto"/>
          <w:sz w:val="28"/>
          <w:szCs w:val="28"/>
          <w:lang w:val="en-US"/>
        </w:rPr>
      </w:pPr>
      <w:r>
        <w:rPr>
          <w:rFonts w:hint="eastAsia" w:ascii="仿宋" w:hAnsi="仿宋" w:eastAsia="仿宋" w:cs="仿宋"/>
          <w:color w:val="auto"/>
          <w:sz w:val="28"/>
          <w:szCs w:val="28"/>
          <w:lang w:val="en-US"/>
        </w:rPr>
        <w:t>使用分散剂处理海面溢油具有许多优点，在分散剂使用过程中，应注意允许使用分散剂的区域、使用量以及其它应考虑问题和使用比率。</w:t>
      </w:r>
    </w:p>
    <w:p>
      <w:pPr>
        <w:keepLines w:val="0"/>
        <w:pageBreakBefore w:val="0"/>
        <w:widowControl/>
        <w:kinsoku/>
        <w:wordWrap/>
        <w:overflowPunct/>
        <w:topLinePunct w:val="0"/>
        <w:autoSpaceDE/>
        <w:autoSpaceDN/>
        <w:bidi w:val="0"/>
        <w:adjustRightInd/>
        <w:snapToGrid/>
        <w:spacing w:before="0" w:after="0" w:line="360" w:lineRule="auto"/>
        <w:ind w:left="0" w:right="0" w:firstLine="562" w:firstLineChars="200"/>
        <w:jc w:val="both"/>
        <w:textAlignment w:val="auto"/>
        <w:rPr>
          <w:rFonts w:hint="eastAsia" w:ascii="仿宋" w:hAnsi="仿宋" w:eastAsia="仿宋" w:cs="仿宋"/>
          <w:b/>
          <w:color w:val="auto"/>
          <w:sz w:val="28"/>
          <w:szCs w:val="28"/>
          <w:lang w:val="en-US" w:bidi="ar-SA"/>
        </w:rPr>
      </w:pPr>
      <w:r>
        <w:rPr>
          <w:rFonts w:hint="eastAsia" w:ascii="仿宋" w:hAnsi="仿宋" w:eastAsia="仿宋" w:cs="仿宋"/>
          <w:b/>
          <w:color w:val="auto"/>
          <w:sz w:val="28"/>
          <w:szCs w:val="28"/>
          <w:lang w:val="en-US" w:bidi="ar-SA"/>
        </w:rPr>
        <w:t>（1）不同水域对分散剂的使用</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b/>
          <w:color w:val="auto"/>
          <w:sz w:val="28"/>
          <w:szCs w:val="28"/>
          <w:lang w:eastAsia="zh-CN"/>
        </w:rPr>
      </w:pPr>
      <w:r>
        <w:rPr>
          <w:rFonts w:hint="eastAsia" w:ascii="仿宋" w:hAnsi="仿宋" w:eastAsia="仿宋" w:cs="仿宋"/>
          <w:color w:val="auto"/>
          <w:sz w:val="28"/>
          <w:szCs w:val="28"/>
          <w:lang w:val="en-US" w:bidi="ar-SA"/>
        </w:rPr>
        <w:t>不同水域对分散剂的使用要求也不同，根据水域的水深、水体交换能力以及海洋生物等情况将使用分散剂的水域分成三种情况，见表</w:t>
      </w:r>
      <w:r>
        <w:rPr>
          <w:rFonts w:hint="eastAsia" w:ascii="仿宋" w:hAnsi="仿宋" w:eastAsia="仿宋" w:cs="仿宋"/>
          <w:color w:val="auto"/>
          <w:sz w:val="28"/>
          <w:szCs w:val="28"/>
          <w:lang w:val="en-US" w:eastAsia="zh-CN" w:bidi="ar-SA"/>
        </w:rPr>
        <w:t>6</w:t>
      </w:r>
      <w:r>
        <w:rPr>
          <w:rFonts w:hint="eastAsia" w:ascii="仿宋" w:hAnsi="仿宋" w:eastAsia="仿宋" w:cs="仿宋"/>
          <w:color w:val="auto"/>
          <w:sz w:val="28"/>
          <w:szCs w:val="28"/>
          <w:lang w:val="en-US" w:bidi="ar-SA"/>
        </w:rPr>
        <w:t>-10。</w:t>
      </w:r>
    </w:p>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-10 使用或不使用分散剂的建议</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4355"/>
        <w:gridCol w:w="465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tblHeader/>
          <w:jc w:val="center"/>
        </w:trPr>
        <w:tc>
          <w:tcPr>
            <w:tcW w:w="4357" w:type="dxa"/>
            <w:tcBorders>
              <w:tl2br w:val="nil"/>
              <w:tr2bl w:val="nil"/>
            </w:tcBorders>
            <w:noWrap w:val="0"/>
            <w:vAlign w:val="center"/>
          </w:tcPr>
          <w:p>
            <w:pPr>
              <w:spacing w:line="240" w:lineRule="auto"/>
              <w:jc w:val="center"/>
              <w:rPr>
                <w:rFonts w:hint="eastAsia" w:ascii="仿宋" w:hAnsi="仿宋" w:eastAsia="仿宋" w:cs="仿宋"/>
                <w:b/>
                <w:bCs/>
                <w:color w:val="auto"/>
                <w:sz w:val="24"/>
                <w:szCs w:val="24"/>
              </w:rPr>
            </w:pPr>
            <w:r>
              <w:rPr>
                <w:rFonts w:hint="eastAsia" w:ascii="仿宋" w:hAnsi="仿宋" w:eastAsia="仿宋" w:cs="仿宋"/>
                <w:b/>
                <w:bCs/>
                <w:color w:val="auto"/>
                <w:sz w:val="24"/>
                <w:szCs w:val="24"/>
              </w:rPr>
              <w:t>水域或敏感区</w:t>
            </w:r>
          </w:p>
        </w:tc>
        <w:tc>
          <w:tcPr>
            <w:tcW w:w="4649" w:type="dxa"/>
            <w:tcBorders>
              <w:tl2br w:val="nil"/>
              <w:tr2bl w:val="nil"/>
            </w:tcBorders>
            <w:noWrap w:val="0"/>
            <w:vAlign w:val="center"/>
          </w:tcPr>
          <w:p>
            <w:pPr>
              <w:spacing w:line="240" w:lineRule="auto"/>
              <w:jc w:val="center"/>
              <w:rPr>
                <w:rFonts w:hint="eastAsia" w:ascii="仿宋" w:hAnsi="仿宋" w:eastAsia="仿宋" w:cs="仿宋"/>
                <w:b/>
                <w:bCs/>
                <w:color w:val="auto"/>
                <w:sz w:val="24"/>
                <w:szCs w:val="24"/>
              </w:rPr>
            </w:pPr>
            <w:r>
              <w:rPr>
                <w:rFonts w:hint="eastAsia" w:ascii="仿宋" w:hAnsi="仿宋" w:eastAsia="仿宋" w:cs="仿宋"/>
                <w:b/>
                <w:bCs/>
                <w:color w:val="auto"/>
                <w:sz w:val="24"/>
                <w:szCs w:val="24"/>
              </w:rPr>
              <w:t>建议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17" w:hRule="exact"/>
          <w:jc w:val="center"/>
        </w:trPr>
        <w:tc>
          <w:tcPr>
            <w:tcW w:w="4357"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开阔的海洋，水深在20 m以上</w:t>
            </w:r>
          </w:p>
        </w:tc>
        <w:tc>
          <w:tcPr>
            <w:tcW w:w="464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A．可以使用分散剂，并且可能是较好的方法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460" w:hRule="atLeast"/>
          <w:jc w:val="center"/>
        </w:trPr>
        <w:tc>
          <w:tcPr>
            <w:tcW w:w="4357"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封闭的海湾和海港；</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与不稳定的潮间带的相临水域；</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与海滨相临的水域；</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近岸沙滩、卵石、沙砾区</w:t>
            </w:r>
          </w:p>
        </w:tc>
        <w:tc>
          <w:tcPr>
            <w:tcW w:w="464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B．使用分散剂是减轻溢油的一种可行的方法，但有水体交换能力和水深的限制：还可以优先采用其它方法，有时可以几种方法同时使用。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02" w:hRule="atLeast"/>
          <w:jc w:val="center"/>
        </w:trPr>
        <w:tc>
          <w:tcPr>
            <w:tcW w:w="4357"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沼泽地</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红树林</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鸟和海洋哺乳动物的栖息地</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盐滩</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海草床</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潮间带海草床</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掩蔽的岩石性潮间带</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掩蔽的卵石海滩</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卵石</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流砂</w:t>
            </w:r>
          </w:p>
        </w:tc>
        <w:tc>
          <w:tcPr>
            <w:tcW w:w="4649" w:type="dxa"/>
            <w:tcBorders>
              <w:tl2br w:val="nil"/>
              <w:tr2bl w:val="nil"/>
            </w:tcBorders>
            <w:noWrap w:val="0"/>
            <w:vAlign w:val="center"/>
          </w:tcPr>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C．原则上不宜使用或避免使用分散剂。</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但在某些情况下允许使用，如在那里使用分散剂可被潮和流充分地冲洗，为了避免油对环境的长期影响，使用分散剂可能被批准。</w:t>
            </w:r>
          </w:p>
          <w:p>
            <w:pPr>
              <w:spacing w:line="240" w:lineRule="auto"/>
              <w:rPr>
                <w:rFonts w:hint="eastAsia" w:ascii="仿宋" w:hAnsi="仿宋" w:eastAsia="仿宋" w:cs="仿宋"/>
                <w:color w:val="auto"/>
                <w:sz w:val="24"/>
                <w:szCs w:val="24"/>
              </w:rPr>
            </w:pPr>
            <w:r>
              <w:rPr>
                <w:rFonts w:hint="eastAsia" w:ascii="仿宋" w:hAnsi="仿宋" w:eastAsia="仿宋" w:cs="仿宋"/>
                <w:color w:val="auto"/>
                <w:sz w:val="24"/>
                <w:szCs w:val="24"/>
              </w:rPr>
              <w:t>D．如果溢油的威胁对一处或几处敏感区有长期的影响时，可以考虑使用分散剂。</w:t>
            </w:r>
          </w:p>
          <w:p>
            <w:pPr>
              <w:spacing w:line="240" w:lineRule="auto"/>
              <w:rPr>
                <w:rFonts w:hint="eastAsia" w:ascii="仿宋" w:hAnsi="仿宋" w:eastAsia="仿宋" w:cs="仿宋"/>
                <w:color w:val="auto"/>
                <w:sz w:val="24"/>
                <w:szCs w:val="24"/>
              </w:rPr>
            </w:pPr>
          </w:p>
        </w:tc>
      </w:tr>
    </w:tbl>
    <w:p>
      <w:pPr>
        <w:spacing w:after="0" w:line="360" w:lineRule="auto"/>
        <w:jc w:val="both"/>
        <w:rPr>
          <w:rFonts w:hint="eastAsia" w:ascii="仿宋" w:hAnsi="仿宋" w:eastAsia="仿宋" w:cs="仿宋"/>
          <w:b/>
          <w:color w:val="auto"/>
          <w:sz w:val="28"/>
          <w:szCs w:val="28"/>
          <w:lang w:eastAsia="zh-CN"/>
        </w:rPr>
      </w:pP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①</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允许使用分散剂。当被分散的油能均匀地混合进入水体，并能发生大范围的混合稀释，使得分散油的浓度很低，对该水域的任何生物都不会造成影响，这种水域对分散剂的使用可不作任何限制，使用量根据油量确定。如水深在20 m以上的开阔海洋属于这一类。</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②</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允许使用分散剂，但使用时间受限或使用量受限。像封闭的海湾和港湾，如这类水域具有较强的水体交换能力，一天内可以交换90％以上，就允许使用。在使用时还要考虑季节、水深和潮汐特点，如在敏感生物产卵季节就要限制使用或限量使用。</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③</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通常情况下不允许使用分散剂，如敏感岸线不宜使用分散剂。但当油的影响周期很长的话，也可以考虑使用。</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rPr>
        <w:t>（2）分散剂的用量</w:t>
      </w:r>
    </w:p>
    <w:p>
      <w:pPr>
        <w:spacing w:line="360" w:lineRule="auto"/>
        <w:ind w:firstLine="560" w:firstLineChars="200"/>
        <w:jc w:val="both"/>
        <w:rPr>
          <w:rFonts w:hint="eastAsia" w:ascii="仿宋" w:hAnsi="仿宋" w:eastAsia="仿宋" w:cs="仿宋"/>
          <w:b/>
          <w:color w:val="auto"/>
          <w:sz w:val="28"/>
          <w:szCs w:val="28"/>
        </w:rPr>
      </w:pPr>
      <w:r>
        <w:rPr>
          <w:rFonts w:hint="eastAsia" w:ascii="仿宋" w:hAnsi="仿宋" w:eastAsia="仿宋" w:cs="仿宋"/>
          <w:sz w:val="28"/>
          <w:szCs w:val="28"/>
        </w:rPr>
        <w:t>对水深不到20 m的水域，在海洋生态可接受的情况下，分散剂的允许用量应根据水深来确定。允许用量应以水域的各个水层（从表层到底层）均匀混合的油分散剂的混合浓度不超过10ppm的计算。使用量见表</w:t>
      </w:r>
      <w:r>
        <w:rPr>
          <w:rFonts w:hint="eastAsia" w:ascii="仿宋" w:hAnsi="仿宋" w:eastAsia="仿宋" w:cs="仿宋"/>
          <w:sz w:val="28"/>
          <w:szCs w:val="28"/>
          <w:lang w:val="en-US" w:eastAsia="zh-CN"/>
        </w:rPr>
        <w:t>6</w:t>
      </w:r>
      <w:r>
        <w:rPr>
          <w:rFonts w:hint="eastAsia" w:ascii="仿宋" w:hAnsi="仿宋" w:eastAsia="仿宋" w:cs="仿宋"/>
          <w:sz w:val="28"/>
          <w:szCs w:val="28"/>
        </w:rPr>
        <w:t>-11。</w:t>
      </w:r>
    </w:p>
    <w:p>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-11 分散剂在不同水深水域的使用量</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078"/>
        <w:gridCol w:w="1111"/>
        <w:gridCol w:w="979"/>
        <w:gridCol w:w="850"/>
        <w:gridCol w:w="1111"/>
        <w:gridCol w:w="1063"/>
        <w:gridCol w:w="181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908"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水域的水深（m）</w:t>
            </w:r>
          </w:p>
        </w:tc>
        <w:tc>
          <w:tcPr>
            <w:tcW w:w="1020" w:type="dxa"/>
            <w:tcBorders>
              <w:tl2br w:val="nil"/>
              <w:tr2bl w:val="nil"/>
            </w:tcBorders>
            <w:noWrap w:val="0"/>
            <w:vAlign w:val="center"/>
          </w:tcPr>
          <w:p>
            <w:pPr>
              <w:spacing w:line="240" w:lineRule="auto"/>
              <w:ind w:firstLine="210" w:firstLineChars="100"/>
              <w:jc w:val="both"/>
              <w:rPr>
                <w:rFonts w:hint="eastAsia" w:ascii="仿宋" w:hAnsi="仿宋" w:eastAsia="仿宋" w:cs="仿宋"/>
                <w:color w:val="auto"/>
                <w:sz w:val="21"/>
                <w:szCs w:val="21"/>
              </w:rPr>
            </w:pPr>
            <w:r>
              <w:rPr>
                <w:rFonts w:hint="eastAsia" w:ascii="仿宋" w:hAnsi="仿宋" w:eastAsia="仿宋" w:cs="仿宋"/>
                <w:color w:val="auto"/>
                <w:sz w:val="21"/>
                <w:szCs w:val="21"/>
              </w:rPr>
              <w:t>&lt;1</w:t>
            </w:r>
          </w:p>
        </w:tc>
        <w:tc>
          <w:tcPr>
            <w:tcW w:w="900"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1～2</w:t>
            </w:r>
          </w:p>
        </w:tc>
        <w:tc>
          <w:tcPr>
            <w:tcW w:w="780"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2～5</w:t>
            </w:r>
          </w:p>
        </w:tc>
        <w:tc>
          <w:tcPr>
            <w:tcW w:w="1020"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5～10</w:t>
            </w:r>
          </w:p>
        </w:tc>
        <w:tc>
          <w:tcPr>
            <w:tcW w:w="975"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10～20</w:t>
            </w:r>
          </w:p>
        </w:tc>
        <w:tc>
          <w:tcPr>
            <w:tcW w:w="1666"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&gt;20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37" w:hRule="exact"/>
          <w:jc w:val="center"/>
        </w:trPr>
        <w:tc>
          <w:tcPr>
            <w:tcW w:w="1908"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分散剂使用量</w:t>
            </w:r>
          </w:p>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（升/亩）</w:t>
            </w:r>
          </w:p>
        </w:tc>
        <w:tc>
          <w:tcPr>
            <w:tcW w:w="1020"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&lt;3.785</w:t>
            </w:r>
          </w:p>
        </w:tc>
        <w:tc>
          <w:tcPr>
            <w:tcW w:w="900"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3.785</w:t>
            </w:r>
          </w:p>
        </w:tc>
        <w:tc>
          <w:tcPr>
            <w:tcW w:w="780"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7.57</w:t>
            </w:r>
          </w:p>
        </w:tc>
        <w:tc>
          <w:tcPr>
            <w:tcW w:w="1020"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18.925</w:t>
            </w:r>
          </w:p>
        </w:tc>
        <w:tc>
          <w:tcPr>
            <w:tcW w:w="975" w:type="dxa"/>
            <w:tcBorders>
              <w:tl2br w:val="nil"/>
              <w:tr2bl w:val="nil"/>
            </w:tcBorders>
            <w:noWrap w:val="0"/>
            <w:vAlign w:val="center"/>
          </w:tcPr>
          <w:p>
            <w:pPr>
              <w:spacing w:line="240" w:lineRule="auto"/>
              <w:jc w:val="center"/>
              <w:rPr>
                <w:rFonts w:hint="eastAsia" w:ascii="仿宋" w:hAnsi="仿宋" w:eastAsia="仿宋" w:cs="仿宋"/>
                <w:color w:val="auto"/>
                <w:sz w:val="21"/>
                <w:szCs w:val="21"/>
              </w:rPr>
            </w:pPr>
            <w:r>
              <w:rPr>
                <w:rFonts w:hint="eastAsia" w:ascii="仿宋" w:hAnsi="仿宋" w:eastAsia="仿宋" w:cs="仿宋"/>
                <w:color w:val="auto"/>
                <w:sz w:val="21"/>
                <w:szCs w:val="21"/>
              </w:rPr>
              <w:t>37.8</w:t>
            </w:r>
          </w:p>
        </w:tc>
        <w:tc>
          <w:tcPr>
            <w:tcW w:w="1666" w:type="dxa"/>
            <w:tcBorders>
              <w:tl2br w:val="nil"/>
              <w:tr2bl w:val="nil"/>
            </w:tcBorders>
            <w:noWrap w:val="0"/>
            <w:vAlign w:val="center"/>
          </w:tcPr>
          <w:p>
            <w:pPr>
              <w:spacing w:line="240" w:lineRule="auto"/>
              <w:jc w:val="both"/>
              <w:rPr>
                <w:rFonts w:hint="eastAsia" w:ascii="仿宋" w:hAnsi="仿宋" w:eastAsia="仿宋" w:cs="仿宋"/>
                <w:color w:val="auto"/>
                <w:sz w:val="21"/>
                <w:szCs w:val="21"/>
              </w:rPr>
            </w:pPr>
            <w:r>
              <w:rPr>
                <w:rFonts w:hint="eastAsia" w:ascii="仿宋" w:hAnsi="仿宋" w:eastAsia="仿宋" w:cs="仿宋"/>
                <w:color w:val="auto"/>
                <w:sz w:val="21"/>
                <w:szCs w:val="21"/>
              </w:rPr>
              <w:t>允许使用分散剂</w:t>
            </w:r>
            <w:r>
              <w:rPr>
                <w:rFonts w:hint="eastAsia" w:ascii="仿宋" w:hAnsi="仿宋" w:eastAsia="仿宋" w:cs="仿宋"/>
                <w:color w:val="auto"/>
                <w:sz w:val="21"/>
                <w:szCs w:val="21"/>
                <w:lang w:eastAsia="zh-CN"/>
              </w:rPr>
              <w:t>，</w:t>
            </w:r>
            <w:r>
              <w:rPr>
                <w:rFonts w:hint="eastAsia" w:ascii="仿宋" w:hAnsi="仿宋" w:eastAsia="仿宋" w:cs="仿宋"/>
                <w:color w:val="auto"/>
                <w:sz w:val="21"/>
                <w:szCs w:val="21"/>
              </w:rPr>
              <w:t>用量按水面油量定</w:t>
            </w:r>
          </w:p>
        </w:tc>
      </w:tr>
    </w:tbl>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对某一特定水域，如何判断可否使用分散剂？若允许使用，使用量为多少？可以根据表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-10提出的建议，按照水域的实际情况先决定能否使用；若允许使用，再参考表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-11所提出的建议，根据实际水深和海洋生物的情况确定用量。</w:t>
      </w:r>
    </w:p>
    <w:p>
      <w:pPr>
        <w:pStyle w:val="27"/>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.2.2.5</w:t>
      </w:r>
      <w:r>
        <w:rPr>
          <w:rFonts w:hint="eastAsia" w:ascii="仿宋" w:hAnsi="仿宋" w:eastAsia="仿宋" w:cs="仿宋"/>
          <w:color w:val="auto"/>
          <w:sz w:val="28"/>
          <w:szCs w:val="28"/>
          <w:lang w:val="en-US" w:eastAsia="zh-CN"/>
        </w:rPr>
        <w:t xml:space="preserve"> </w:t>
      </w:r>
      <w:r>
        <w:rPr>
          <w:rFonts w:hint="eastAsia" w:ascii="仿宋" w:hAnsi="仿宋" w:eastAsia="仿宋" w:cs="仿宋"/>
          <w:color w:val="auto"/>
          <w:sz w:val="28"/>
          <w:szCs w:val="28"/>
        </w:rPr>
        <w:t>分散剂的喷洒</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b/>
          <w:color w:val="auto"/>
          <w:sz w:val="28"/>
          <w:szCs w:val="28"/>
        </w:rPr>
      </w:pPr>
      <w:r>
        <w:rPr>
          <w:rFonts w:hint="eastAsia" w:ascii="仿宋" w:hAnsi="仿宋" w:eastAsia="仿宋" w:cs="仿宋"/>
          <w:color w:val="auto"/>
          <w:sz w:val="28"/>
          <w:szCs w:val="28"/>
        </w:rPr>
        <w:t>分散剂可通过船舶喷洒和人工喷洒。选用何种喷洒方法，主要取决于分散剂的类型、溢油的位置、面积大小以及喷洒分散剂的船舶的有效利用率。本公司配套了船</w:t>
      </w:r>
      <w:r>
        <w:rPr>
          <w:rFonts w:hint="eastAsia" w:ascii="仿宋" w:hAnsi="仿宋" w:eastAsia="仿宋" w:cs="仿宋"/>
          <w:color w:val="auto"/>
          <w:sz w:val="28"/>
          <w:szCs w:val="28"/>
          <w:lang w:eastAsia="zh-CN"/>
        </w:rPr>
        <w:t>用</w:t>
      </w:r>
      <w:r>
        <w:rPr>
          <w:rFonts w:hint="eastAsia" w:ascii="仿宋" w:hAnsi="仿宋" w:eastAsia="仿宋" w:cs="仿宋"/>
          <w:color w:val="auto"/>
          <w:sz w:val="28"/>
          <w:szCs w:val="28"/>
        </w:rPr>
        <w:t>喷洒装置</w:t>
      </w:r>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rPr>
        <w:t>套，</w:t>
      </w:r>
      <w:r>
        <w:rPr>
          <w:rFonts w:hint="eastAsia" w:ascii="仿宋" w:hAnsi="仿宋" w:eastAsia="仿宋" w:cs="仿宋"/>
          <w:color w:val="auto"/>
          <w:sz w:val="28"/>
          <w:szCs w:val="28"/>
          <w:lang w:eastAsia="zh-CN"/>
        </w:rPr>
        <w:t>手持</w:t>
      </w:r>
      <w:r>
        <w:rPr>
          <w:rFonts w:hint="eastAsia" w:ascii="仿宋" w:hAnsi="仿宋" w:eastAsia="仿宋" w:cs="仿宋"/>
          <w:color w:val="auto"/>
          <w:sz w:val="28"/>
          <w:szCs w:val="28"/>
        </w:rPr>
        <w:t>喷洒装置</w:t>
      </w:r>
      <w:r>
        <w:rPr>
          <w:rFonts w:hint="eastAsia" w:ascii="仿宋" w:hAnsi="仿宋" w:eastAsia="仿宋" w:cs="仿宋"/>
          <w:color w:val="auto"/>
          <w:sz w:val="28"/>
          <w:szCs w:val="28"/>
          <w:lang w:val="en-US" w:eastAsia="zh-CN"/>
        </w:rPr>
        <w:t>4</w:t>
      </w:r>
      <w:r>
        <w:rPr>
          <w:rFonts w:hint="eastAsia" w:ascii="仿宋" w:hAnsi="仿宋" w:eastAsia="仿宋" w:cs="仿宋"/>
          <w:color w:val="auto"/>
          <w:sz w:val="28"/>
          <w:szCs w:val="28"/>
        </w:rPr>
        <w:t>套，具体型号和性能见表</w:t>
      </w:r>
      <w:r>
        <w:rPr>
          <w:rFonts w:hint="eastAsia" w:ascii="仿宋" w:hAnsi="仿宋" w:eastAsia="仿宋" w:cs="仿宋"/>
          <w:color w:val="auto"/>
          <w:sz w:val="28"/>
          <w:szCs w:val="28"/>
          <w:lang w:val="en-US" w:eastAsia="zh-CN"/>
        </w:rPr>
        <w:t>6</w:t>
      </w:r>
      <w:r>
        <w:rPr>
          <w:rFonts w:hint="eastAsia" w:ascii="仿宋" w:hAnsi="仿宋" w:eastAsia="仿宋" w:cs="仿宋"/>
          <w:color w:val="auto"/>
          <w:sz w:val="28"/>
          <w:szCs w:val="28"/>
        </w:rPr>
        <w:t>-12。</w:t>
      </w:r>
    </w:p>
    <w:p>
      <w:pPr>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表</w:t>
      </w:r>
      <w:r>
        <w:rPr>
          <w:rFonts w:hint="eastAsia" w:ascii="仿宋" w:hAnsi="仿宋" w:eastAsia="仿宋" w:cs="仿宋"/>
          <w:b/>
          <w:color w:val="auto"/>
          <w:sz w:val="28"/>
          <w:szCs w:val="28"/>
          <w:lang w:val="en-US" w:eastAsia="zh-CN"/>
        </w:rPr>
        <w:t>6</w:t>
      </w:r>
      <w:r>
        <w:rPr>
          <w:rFonts w:hint="eastAsia" w:ascii="仿宋" w:hAnsi="仿宋" w:eastAsia="仿宋" w:cs="仿宋"/>
          <w:b/>
          <w:color w:val="auto"/>
          <w:sz w:val="28"/>
          <w:szCs w:val="28"/>
        </w:rPr>
        <w:t>-12 本公司喷洒装置配备情况表</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01"/>
        <w:gridCol w:w="1781"/>
        <w:gridCol w:w="924"/>
        <w:gridCol w:w="954"/>
        <w:gridCol w:w="1520"/>
        <w:gridCol w:w="292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828" w:type="dxa"/>
            <w:tcBorders>
              <w:tl2br w:val="nil"/>
              <w:tr2bl w:val="nil"/>
            </w:tcBorders>
            <w:noWrap w:val="0"/>
            <w:vAlign w:val="center"/>
          </w:tcPr>
          <w:p>
            <w:pPr>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序号</w:t>
            </w:r>
          </w:p>
        </w:tc>
        <w:tc>
          <w:tcPr>
            <w:tcW w:w="1635" w:type="dxa"/>
            <w:tcBorders>
              <w:tl2br w:val="nil"/>
              <w:tr2bl w:val="nil"/>
            </w:tcBorders>
            <w:noWrap w:val="0"/>
            <w:vAlign w:val="center"/>
          </w:tcPr>
          <w:p>
            <w:pPr>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名称</w:t>
            </w:r>
          </w:p>
        </w:tc>
        <w:tc>
          <w:tcPr>
            <w:tcW w:w="849" w:type="dxa"/>
            <w:tcBorders>
              <w:tl2br w:val="nil"/>
              <w:tr2bl w:val="nil"/>
            </w:tcBorders>
            <w:noWrap w:val="0"/>
            <w:vAlign w:val="center"/>
          </w:tcPr>
          <w:p>
            <w:pPr>
              <w:jc w:val="both"/>
              <w:rPr>
                <w:rFonts w:hint="eastAsia" w:ascii="仿宋" w:hAnsi="仿宋" w:eastAsia="仿宋" w:cs="仿宋"/>
                <w:b/>
                <w:color w:val="auto"/>
                <w:sz w:val="24"/>
                <w:szCs w:val="24"/>
              </w:rPr>
            </w:pPr>
            <w:r>
              <w:rPr>
                <w:rFonts w:hint="eastAsia" w:ascii="仿宋" w:hAnsi="仿宋" w:eastAsia="仿宋" w:cs="仿宋"/>
                <w:b/>
                <w:color w:val="auto"/>
                <w:sz w:val="24"/>
                <w:szCs w:val="24"/>
              </w:rPr>
              <w:t>型号</w:t>
            </w:r>
          </w:p>
        </w:tc>
        <w:tc>
          <w:tcPr>
            <w:tcW w:w="876" w:type="dxa"/>
            <w:tcBorders>
              <w:tl2br w:val="nil"/>
              <w:tr2bl w:val="nil"/>
            </w:tcBorders>
            <w:noWrap w:val="0"/>
            <w:vAlign w:val="center"/>
          </w:tcPr>
          <w:p>
            <w:pPr>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数量</w:t>
            </w:r>
          </w:p>
        </w:tc>
        <w:tc>
          <w:tcPr>
            <w:tcW w:w="1395" w:type="dxa"/>
            <w:tcBorders>
              <w:tl2br w:val="nil"/>
              <w:tr2bl w:val="nil"/>
            </w:tcBorders>
            <w:noWrap w:val="0"/>
            <w:vAlign w:val="center"/>
          </w:tcPr>
          <w:p>
            <w:pPr>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厂家名称</w:t>
            </w:r>
          </w:p>
        </w:tc>
        <w:tc>
          <w:tcPr>
            <w:tcW w:w="2687" w:type="dxa"/>
            <w:tcBorders>
              <w:tl2br w:val="nil"/>
              <w:tr2bl w:val="nil"/>
            </w:tcBorders>
            <w:noWrap w:val="0"/>
            <w:vAlign w:val="center"/>
          </w:tcPr>
          <w:p>
            <w:pPr>
              <w:jc w:val="center"/>
              <w:rPr>
                <w:rFonts w:hint="eastAsia" w:ascii="仿宋" w:hAnsi="仿宋" w:eastAsia="仿宋" w:cs="仿宋"/>
                <w:b/>
                <w:color w:val="auto"/>
                <w:sz w:val="24"/>
                <w:szCs w:val="24"/>
              </w:rPr>
            </w:pPr>
            <w:r>
              <w:rPr>
                <w:rFonts w:hint="eastAsia" w:ascii="仿宋" w:hAnsi="仿宋" w:eastAsia="仿宋" w:cs="仿宋"/>
                <w:b/>
                <w:color w:val="auto"/>
                <w:sz w:val="24"/>
                <w:szCs w:val="24"/>
              </w:rPr>
              <w:t>主要技术参数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102" w:hRule="exact"/>
          <w:jc w:val="center"/>
        </w:trPr>
        <w:tc>
          <w:tcPr>
            <w:tcW w:w="828"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1</w:t>
            </w:r>
          </w:p>
        </w:tc>
        <w:tc>
          <w:tcPr>
            <w:tcW w:w="1635"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lang w:eastAsia="zh-CN"/>
              </w:rPr>
              <w:t>船用</w:t>
            </w:r>
            <w:r>
              <w:rPr>
                <w:rFonts w:hint="eastAsia" w:ascii="仿宋" w:hAnsi="仿宋" w:eastAsia="仿宋" w:cs="仿宋"/>
                <w:color w:val="auto"/>
                <w:sz w:val="24"/>
                <w:szCs w:val="24"/>
              </w:rPr>
              <w:t>喷洒</w:t>
            </w:r>
          </w:p>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装置</w:t>
            </w:r>
          </w:p>
        </w:tc>
        <w:tc>
          <w:tcPr>
            <w:tcW w:w="849"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PS140</w:t>
            </w:r>
          </w:p>
        </w:tc>
        <w:tc>
          <w:tcPr>
            <w:tcW w:w="876"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4</w:t>
            </w:r>
            <w:r>
              <w:rPr>
                <w:rFonts w:hint="eastAsia" w:ascii="仿宋" w:hAnsi="仿宋" w:eastAsia="仿宋" w:cs="仿宋"/>
                <w:color w:val="auto"/>
                <w:sz w:val="24"/>
                <w:szCs w:val="24"/>
                <w:lang w:eastAsia="zh-CN"/>
              </w:rPr>
              <w:t>套</w:t>
            </w:r>
          </w:p>
        </w:tc>
        <w:tc>
          <w:tcPr>
            <w:tcW w:w="1395"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青岛华海</w:t>
            </w:r>
          </w:p>
        </w:tc>
        <w:tc>
          <w:tcPr>
            <w:tcW w:w="2687" w:type="dxa"/>
            <w:tcBorders>
              <w:tl2br w:val="nil"/>
              <w:tr2bl w:val="nil"/>
            </w:tcBorders>
            <w:noWrap w:val="0"/>
            <w:vAlign w:val="center"/>
          </w:tcPr>
          <w:p>
            <w:pPr>
              <w:jc w:val="both"/>
              <w:rPr>
                <w:rFonts w:hint="eastAsia" w:ascii="仿宋" w:hAnsi="仿宋" w:eastAsia="仿宋" w:cs="仿宋"/>
                <w:color w:val="auto"/>
                <w:sz w:val="24"/>
                <w:szCs w:val="24"/>
              </w:rPr>
            </w:pPr>
            <w:r>
              <w:rPr>
                <w:rFonts w:hint="eastAsia" w:ascii="仿宋" w:hAnsi="仿宋" w:eastAsia="仿宋" w:cs="仿宋"/>
                <w:color w:val="auto"/>
                <w:sz w:val="24"/>
                <w:szCs w:val="24"/>
              </w:rPr>
              <w:t>主要用于处理分散各种水域溢油</w:t>
            </w:r>
          </w:p>
          <w:p>
            <w:pPr>
              <w:jc w:val="both"/>
              <w:rPr>
                <w:rFonts w:hint="eastAsia" w:ascii="仿宋" w:hAnsi="仿宋" w:eastAsia="仿宋" w:cs="仿宋"/>
                <w:color w:val="auto"/>
                <w:sz w:val="24"/>
                <w:szCs w:val="24"/>
              </w:rPr>
            </w:pPr>
            <w:r>
              <w:rPr>
                <w:rFonts w:hint="eastAsia" w:ascii="仿宋" w:hAnsi="仿宋" w:eastAsia="仿宋" w:cs="仿宋"/>
                <w:color w:val="auto"/>
                <w:sz w:val="24"/>
                <w:szCs w:val="24"/>
              </w:rPr>
              <w:t>最大喷洒射程12m</w:t>
            </w:r>
          </w:p>
          <w:p>
            <w:pPr>
              <w:jc w:val="both"/>
              <w:rPr>
                <w:rFonts w:hint="eastAsia" w:ascii="仿宋" w:hAnsi="仿宋" w:eastAsia="仿宋" w:cs="仿宋"/>
                <w:color w:val="auto"/>
                <w:sz w:val="24"/>
                <w:szCs w:val="24"/>
              </w:rPr>
            </w:pPr>
          </w:p>
          <w:p>
            <w:pPr>
              <w:jc w:val="both"/>
              <w:rPr>
                <w:rFonts w:hint="eastAsia" w:ascii="仿宋" w:hAnsi="仿宋" w:eastAsia="仿宋" w:cs="仿宋"/>
                <w:color w:val="auto"/>
                <w:sz w:val="24"/>
                <w:szCs w:val="24"/>
              </w:rPr>
            </w:pPr>
            <w:r>
              <w:rPr>
                <w:rFonts w:hint="eastAsia" w:ascii="仿宋" w:hAnsi="仿宋" w:eastAsia="仿宋" w:cs="仿宋"/>
                <w:color w:val="auto"/>
                <w:sz w:val="24"/>
                <w:szCs w:val="24"/>
              </w:rPr>
              <w:t>喷洒速度为8.4吨/小时</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57" w:hRule="exact"/>
          <w:jc w:val="center"/>
        </w:trPr>
        <w:tc>
          <w:tcPr>
            <w:tcW w:w="828"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2</w:t>
            </w:r>
          </w:p>
        </w:tc>
        <w:tc>
          <w:tcPr>
            <w:tcW w:w="1635"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lang w:eastAsia="zh-CN"/>
              </w:rPr>
              <w:t>手持</w:t>
            </w:r>
            <w:r>
              <w:rPr>
                <w:rFonts w:hint="eastAsia" w:ascii="仿宋" w:hAnsi="仿宋" w:eastAsia="仿宋" w:cs="仿宋"/>
                <w:color w:val="auto"/>
                <w:sz w:val="24"/>
                <w:szCs w:val="24"/>
              </w:rPr>
              <w:t>式喷洒</w:t>
            </w:r>
          </w:p>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装置</w:t>
            </w:r>
          </w:p>
        </w:tc>
        <w:tc>
          <w:tcPr>
            <w:tcW w:w="849"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PS40</w:t>
            </w:r>
          </w:p>
        </w:tc>
        <w:tc>
          <w:tcPr>
            <w:tcW w:w="876"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8台</w:t>
            </w:r>
          </w:p>
        </w:tc>
        <w:tc>
          <w:tcPr>
            <w:tcW w:w="1395" w:type="dxa"/>
            <w:tcBorders>
              <w:tl2br w:val="nil"/>
              <w:tr2bl w:val="nil"/>
            </w:tcBorders>
            <w:noWrap w:val="0"/>
            <w:vAlign w:val="center"/>
          </w:tcPr>
          <w:p>
            <w:pPr>
              <w:jc w:val="center"/>
              <w:rPr>
                <w:rFonts w:hint="eastAsia" w:ascii="仿宋" w:hAnsi="仿宋" w:eastAsia="仿宋" w:cs="仿宋"/>
                <w:color w:val="auto"/>
                <w:sz w:val="24"/>
                <w:szCs w:val="24"/>
              </w:rPr>
            </w:pPr>
            <w:r>
              <w:rPr>
                <w:rFonts w:hint="eastAsia" w:ascii="仿宋" w:hAnsi="仿宋" w:eastAsia="仿宋" w:cs="仿宋"/>
                <w:color w:val="auto"/>
                <w:sz w:val="24"/>
                <w:szCs w:val="24"/>
              </w:rPr>
              <w:t>青岛华海</w:t>
            </w:r>
          </w:p>
        </w:tc>
        <w:tc>
          <w:tcPr>
            <w:tcW w:w="2687" w:type="dxa"/>
            <w:tcBorders>
              <w:tl2br w:val="nil"/>
              <w:tr2bl w:val="nil"/>
            </w:tcBorders>
            <w:noWrap w:val="0"/>
            <w:vAlign w:val="center"/>
          </w:tcPr>
          <w:p>
            <w:pPr>
              <w:jc w:val="both"/>
              <w:rPr>
                <w:rFonts w:hint="eastAsia" w:ascii="仿宋" w:hAnsi="仿宋" w:eastAsia="仿宋" w:cs="仿宋"/>
                <w:color w:val="auto"/>
                <w:sz w:val="24"/>
                <w:szCs w:val="24"/>
              </w:rPr>
            </w:pPr>
            <w:r>
              <w:rPr>
                <w:rFonts w:hint="eastAsia" w:ascii="仿宋" w:hAnsi="仿宋" w:eastAsia="仿宋" w:cs="仿宋"/>
                <w:color w:val="auto"/>
                <w:sz w:val="24"/>
                <w:szCs w:val="24"/>
              </w:rPr>
              <w:t>最大流量2.4吨/小时</w:t>
            </w:r>
          </w:p>
        </w:tc>
      </w:tr>
    </w:tbl>
    <w:p>
      <w:pPr>
        <w:keepLines w:val="0"/>
        <w:pageBreakBefore w:val="0"/>
        <w:widowControl/>
        <w:kinsoku/>
        <w:wordWrap/>
        <w:overflowPunct/>
        <w:topLinePunct w:val="0"/>
        <w:autoSpaceDE/>
        <w:autoSpaceDN/>
        <w:bidi w:val="0"/>
        <w:adjustRightInd/>
        <w:snapToGrid/>
        <w:spacing w:line="500" w:lineRule="exact"/>
        <w:textAlignment w:val="auto"/>
        <w:rPr>
          <w:rFonts w:hint="default" w:ascii="Times New Roman" w:hAnsi="Times New Roman" w:eastAsia="宋体" w:cs="Times New Roman"/>
          <w:b/>
          <w:color w:val="auto"/>
          <w:sz w:val="24"/>
          <w:szCs w:val="24"/>
        </w:rPr>
      </w:pPr>
    </w:p>
    <w:p>
      <w:pPr>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（1）船舶喷洒</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本公司的</w:t>
      </w:r>
      <w:r>
        <w:rPr>
          <w:rFonts w:hint="eastAsia" w:ascii="仿宋" w:hAnsi="仿宋" w:eastAsia="仿宋" w:cs="仿宋"/>
          <w:sz w:val="28"/>
          <w:szCs w:val="28"/>
          <w:lang w:val="en-US" w:eastAsia="zh-CN"/>
        </w:rPr>
        <w:t>1</w:t>
      </w:r>
      <w:r>
        <w:rPr>
          <w:rFonts w:hint="eastAsia" w:ascii="仿宋" w:hAnsi="仿宋" w:eastAsia="仿宋" w:cs="仿宋"/>
          <w:sz w:val="28"/>
          <w:szCs w:val="28"/>
        </w:rPr>
        <w:t>艘溢油应急处置船具备溢油分散剂的喷洒功能，可独立进行溢油分散剂的船舶喷洒功能。</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专用的船舶喷洒装置由耐腐蚀的分散剂储存柜、分散剂泵/水泵、计量表、带有喷嘴的喷管及软管组成。喷洒作业时，船舶可通过船舶的螺旋桨自然搅拌，使分散剂、油、海水充分地混合。</w:t>
      </w:r>
    </w:p>
    <w:p>
      <w:pPr>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color w:val="auto"/>
          <w:sz w:val="28"/>
          <w:szCs w:val="28"/>
        </w:rPr>
      </w:pPr>
      <w:r>
        <w:rPr>
          <w:rFonts w:hint="eastAsia" w:ascii="仿宋" w:hAnsi="仿宋" w:eastAsia="仿宋" w:cs="仿宋"/>
          <w:b/>
          <w:bCs/>
          <w:color w:val="auto"/>
          <w:sz w:val="28"/>
          <w:szCs w:val="28"/>
        </w:rPr>
        <w:t>①</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船舶使用专用喷洒装置的优点</w:t>
      </w:r>
      <w:r>
        <w:rPr>
          <w:rFonts w:hint="eastAsia" w:ascii="仿宋" w:hAnsi="仿宋" w:eastAsia="仿宋" w:cs="仿宋"/>
          <w:color w:val="auto"/>
          <w:sz w:val="28"/>
          <w:szCs w:val="28"/>
        </w:rPr>
        <w:t>：</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◆通过螺旋桨或其它搅拌装置搅拌被处理的油膜，使分散剂和油得到必要的混合提高分散效果。</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◆8-10 m的喷洒臂实现大面积喷洒，速度快，效率高。</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◆既可以喷洒常规型分散剂又可以喷洒浓缩型分散剂。</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为了保证水面的最佳搅拌作用，船舶航速应维持在4-10海里/小时。</w:t>
      </w:r>
    </w:p>
    <w:p>
      <w:pPr>
        <w:spacing w:line="360" w:lineRule="auto"/>
        <w:ind w:firstLine="562" w:firstLineChars="200"/>
        <w:jc w:val="both"/>
        <w:rPr>
          <w:rFonts w:hint="eastAsia" w:ascii="仿宋" w:hAnsi="仿宋" w:eastAsia="仿宋" w:cs="仿宋"/>
          <w:color w:val="auto"/>
          <w:sz w:val="28"/>
          <w:szCs w:val="28"/>
        </w:rPr>
      </w:pPr>
      <w:r>
        <w:rPr>
          <w:rFonts w:hint="eastAsia" w:ascii="仿宋" w:hAnsi="仿宋" w:eastAsia="仿宋" w:cs="仿宋"/>
          <w:b/>
          <w:bCs/>
          <w:color w:val="auto"/>
          <w:sz w:val="28"/>
          <w:szCs w:val="28"/>
        </w:rPr>
        <w:t>②</w:t>
      </w:r>
      <w:r>
        <w:rPr>
          <w:rFonts w:hint="eastAsia" w:ascii="仿宋" w:hAnsi="仿宋" w:eastAsia="仿宋" w:cs="仿宋"/>
          <w:b/>
          <w:bCs/>
          <w:color w:val="auto"/>
          <w:sz w:val="28"/>
          <w:szCs w:val="28"/>
          <w:lang w:val="en-US" w:eastAsia="zh-CN"/>
        </w:rPr>
        <w:t xml:space="preserve"> </w:t>
      </w:r>
      <w:r>
        <w:rPr>
          <w:rFonts w:hint="eastAsia" w:ascii="仿宋" w:hAnsi="仿宋" w:eastAsia="仿宋" w:cs="仿宋"/>
          <w:b/>
          <w:bCs/>
          <w:color w:val="auto"/>
          <w:sz w:val="28"/>
          <w:szCs w:val="28"/>
        </w:rPr>
        <w:t>喷洒</w:t>
      </w:r>
      <w:r>
        <w:rPr>
          <w:rFonts w:hint="eastAsia" w:ascii="仿宋" w:hAnsi="仿宋" w:eastAsia="仿宋" w:cs="仿宋"/>
          <w:b/>
          <w:bCs/>
          <w:color w:val="auto"/>
          <w:sz w:val="28"/>
          <w:szCs w:val="28"/>
          <w:lang w:eastAsia="zh-CN"/>
        </w:rPr>
        <w:t>臂</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如果喷洒臂装在船艏，则可解决顶艏波浪带来的问题，船舶也能以较高的航速进行喷洒作业。这种方式所需搅拌较小，适应性较大，油的处理能力也较大。此外，顶艏波浪本身还起着搅拌作用。由于大部分船舶干舷高于船艏，因而喷洒臂可以做得更长一些，喷洒宽度可以增加，进而改善潜在的处理能力。</w:t>
      </w:r>
    </w:p>
    <w:p>
      <w:pPr>
        <w:spacing w:line="360" w:lineRule="auto"/>
        <w:ind w:firstLine="562" w:firstLineChars="200"/>
        <w:jc w:val="both"/>
        <w:rPr>
          <w:rFonts w:hint="eastAsia" w:ascii="仿宋" w:hAnsi="仿宋" w:eastAsia="仿宋" w:cs="仿宋"/>
          <w:b/>
          <w:bCs w:val="0"/>
          <w:color w:val="auto"/>
          <w:sz w:val="28"/>
          <w:szCs w:val="28"/>
        </w:rPr>
      </w:pPr>
      <w:r>
        <w:rPr>
          <w:rFonts w:hint="eastAsia" w:ascii="仿宋" w:hAnsi="仿宋" w:eastAsia="仿宋" w:cs="仿宋"/>
          <w:b/>
          <w:bCs w:val="0"/>
          <w:color w:val="auto"/>
          <w:sz w:val="28"/>
          <w:szCs w:val="28"/>
        </w:rPr>
        <w:t>③</w:t>
      </w:r>
      <w:r>
        <w:rPr>
          <w:rFonts w:hint="eastAsia" w:ascii="仿宋" w:hAnsi="仿宋" w:eastAsia="仿宋" w:cs="仿宋"/>
          <w:b/>
          <w:bCs w:val="0"/>
          <w:color w:val="auto"/>
          <w:sz w:val="28"/>
          <w:szCs w:val="28"/>
          <w:lang w:val="en-US" w:eastAsia="zh-CN"/>
        </w:rPr>
        <w:t xml:space="preserve"> </w:t>
      </w:r>
      <w:r>
        <w:rPr>
          <w:rFonts w:hint="eastAsia" w:ascii="仿宋" w:hAnsi="仿宋" w:eastAsia="仿宋" w:cs="仿宋"/>
          <w:b/>
          <w:bCs w:val="0"/>
          <w:color w:val="auto"/>
          <w:sz w:val="28"/>
          <w:szCs w:val="28"/>
        </w:rPr>
        <w:t>喷洒率</w:t>
      </w:r>
    </w:p>
    <w:p>
      <w:pPr>
        <w:spacing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喷洒率的大小取决于溢油类型、油膜厚度以及油的流动状态。控制喷洒率可采用两种方法，即改变泵的速率，或者保持泵的速率而改变船舶的航速。泵排放率计算式如下：</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泵排放率（L/min）=0.003×喷洒率（L/ha）×航速（knots）×喷洒宽度（m）</w:t>
      </w:r>
    </w:p>
    <w:p>
      <w:pPr>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④</w:t>
      </w:r>
      <w:r>
        <w:rPr>
          <w:rFonts w:hint="eastAsia" w:ascii="仿宋" w:hAnsi="仿宋" w:eastAsia="仿宋" w:cs="仿宋"/>
          <w:b/>
          <w:color w:val="auto"/>
          <w:sz w:val="28"/>
          <w:szCs w:val="28"/>
          <w:lang w:val="en-US" w:eastAsia="zh-CN"/>
        </w:rPr>
        <w:t xml:space="preserve"> </w:t>
      </w:r>
      <w:r>
        <w:rPr>
          <w:rFonts w:hint="eastAsia" w:ascii="仿宋" w:hAnsi="仿宋" w:eastAsia="仿宋" w:cs="仿宋"/>
          <w:b/>
          <w:color w:val="auto"/>
          <w:sz w:val="28"/>
          <w:szCs w:val="28"/>
        </w:rPr>
        <w:t>喷洒作业注意事项</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280" w:firstLineChars="1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◆通常，喷洒次序要从油膜的较厚部分以及油膜的外部边缘开始，不要从中间或油膜较薄的地方开始。</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280" w:firstLineChars="1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◆如果油膜在近岸海域，最好的作业方式是尽可能与岸线平行作业。</w:t>
      </w:r>
    </w:p>
    <w:p>
      <w:pPr>
        <w:spacing w:line="360" w:lineRule="auto"/>
        <w:ind w:firstLine="280" w:firstLineChars="100"/>
        <w:jc w:val="both"/>
        <w:rPr>
          <w:rFonts w:hint="eastAsia" w:ascii="仿宋" w:hAnsi="仿宋" w:eastAsia="仿宋" w:cs="仿宋"/>
          <w:sz w:val="28"/>
          <w:szCs w:val="28"/>
        </w:rPr>
      </w:pPr>
      <w:r>
        <w:rPr>
          <w:rFonts w:hint="eastAsia" w:ascii="仿宋" w:hAnsi="仿宋" w:eastAsia="仿宋" w:cs="仿宋"/>
          <w:sz w:val="28"/>
          <w:szCs w:val="28"/>
        </w:rPr>
        <w:t>◆船舶顺着风向作业以避免分散剂被吹到甲板上。</w:t>
      </w:r>
    </w:p>
    <w:p>
      <w:pPr>
        <w:spacing w:line="360" w:lineRule="auto"/>
        <w:ind w:firstLine="280" w:firstLineChars="100"/>
        <w:jc w:val="both"/>
        <w:rPr>
          <w:rFonts w:hint="eastAsia" w:ascii="仿宋" w:hAnsi="仿宋" w:eastAsia="仿宋" w:cs="仿宋"/>
          <w:sz w:val="28"/>
          <w:szCs w:val="28"/>
        </w:rPr>
      </w:pPr>
      <w:r>
        <w:rPr>
          <w:rFonts w:hint="eastAsia" w:ascii="仿宋" w:hAnsi="仿宋" w:eastAsia="仿宋" w:cs="仿宋"/>
          <w:sz w:val="28"/>
          <w:szCs w:val="28"/>
        </w:rPr>
        <w:t>◆如果油带为一窄条，与风向垂直，则船舶应在油膜的上风向沿着油带喷洒。鉴于分散剂喷雾受风的影响而横向偏移，船舶只能用下风侧单臂喷洒。</w:t>
      </w:r>
    </w:p>
    <w:p>
      <w:pPr>
        <w:keepLines w:val="0"/>
        <w:pageBreakBefore w:val="0"/>
        <w:widowControl/>
        <w:numPr>
          <w:ilvl w:val="0"/>
          <w:numId w:val="0"/>
        </w:numPr>
        <w:kinsoku/>
        <w:wordWrap/>
        <w:overflowPunct/>
        <w:topLinePunct w:val="0"/>
        <w:autoSpaceDE/>
        <w:autoSpaceDN/>
        <w:bidi w:val="0"/>
        <w:adjustRightInd/>
        <w:snapToGrid/>
        <w:spacing w:line="360" w:lineRule="auto"/>
        <w:ind w:right="0" w:rightChars="0" w:firstLine="280" w:firstLineChars="1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◆分散剂的喷洒作业应尽可能在溢油事故发生后的短时间内进行，因为时间过长，油的风化会造成“乳化”，降低分散效果。</w:t>
      </w:r>
    </w:p>
    <w:p>
      <w:pPr>
        <w:keepLines w:val="0"/>
        <w:pageBreakBefore w:val="0"/>
        <w:widowControl/>
        <w:kinsoku/>
        <w:wordWrap/>
        <w:overflowPunct/>
        <w:topLinePunct w:val="0"/>
        <w:autoSpaceDE/>
        <w:autoSpaceDN/>
        <w:bidi w:val="0"/>
        <w:adjustRightInd/>
        <w:snapToGrid/>
        <w:spacing w:line="360" w:lineRule="auto"/>
        <w:ind w:firstLine="562" w:firstLineChars="200"/>
        <w:jc w:val="both"/>
        <w:textAlignment w:val="auto"/>
        <w:rPr>
          <w:rFonts w:hint="eastAsia" w:ascii="仿宋" w:hAnsi="仿宋" w:eastAsia="仿宋" w:cs="仿宋"/>
          <w:b/>
          <w:color w:val="auto"/>
          <w:sz w:val="28"/>
          <w:szCs w:val="28"/>
        </w:rPr>
      </w:pPr>
      <w:r>
        <w:rPr>
          <w:rFonts w:hint="eastAsia" w:ascii="仿宋" w:hAnsi="仿宋" w:eastAsia="仿宋" w:cs="仿宋"/>
          <w:b/>
          <w:color w:val="auto"/>
          <w:sz w:val="28"/>
          <w:szCs w:val="28"/>
        </w:rPr>
        <w:t>⑤</w:t>
      </w:r>
      <w:r>
        <w:rPr>
          <w:rFonts w:hint="eastAsia" w:ascii="仿宋" w:hAnsi="仿宋" w:eastAsia="仿宋" w:cs="仿宋"/>
          <w:b/>
          <w:color w:val="auto"/>
          <w:sz w:val="28"/>
          <w:szCs w:val="28"/>
          <w:lang w:val="en-US" w:eastAsia="zh-CN"/>
        </w:rPr>
        <w:t xml:space="preserve"> </w:t>
      </w:r>
      <w:r>
        <w:rPr>
          <w:rFonts w:hint="eastAsia" w:ascii="仿宋" w:hAnsi="仿宋" w:eastAsia="仿宋" w:cs="仿宋"/>
          <w:b/>
          <w:color w:val="auto"/>
          <w:sz w:val="28"/>
          <w:szCs w:val="28"/>
        </w:rPr>
        <w:t>分散剂在岸线的应用</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分散剂在岸线的应用要视具体情况具体分析，并没有通用的方法，但对于海滩上的溢油并不是直接喷洒分散剂，而是在海水冲刷之后的较短时间内（30 min）进行喷洒。在有潮汛的岸线应在涨潮前进行喷洒，避免将油带入底层。对于岩石、护岸和其他人造构筑物的清洗，通常要借助于人工刷擦，再用高压水冲洗。</w:t>
      </w:r>
    </w:p>
    <w:p>
      <w:pPr>
        <w:spacing w:after="0" w:line="360" w:lineRule="auto"/>
        <w:ind w:firstLine="560" w:firstLineChars="200"/>
        <w:jc w:val="both"/>
        <w:rPr>
          <w:rFonts w:hint="eastAsia" w:ascii="仿宋" w:hAnsi="仿宋" w:eastAsia="仿宋" w:cs="仿宋"/>
          <w:color w:val="auto"/>
          <w:sz w:val="28"/>
          <w:szCs w:val="28"/>
        </w:rPr>
      </w:pPr>
      <w:r>
        <w:rPr>
          <w:rFonts w:hint="eastAsia" w:ascii="仿宋" w:hAnsi="仿宋" w:eastAsia="仿宋" w:cs="仿宋"/>
          <w:color w:val="auto"/>
          <w:sz w:val="28"/>
          <w:szCs w:val="28"/>
        </w:rPr>
        <w:t>分散剂在岸线应用时应注意的是，对工业的取水口、盐场等敏感区严禁使用。</w:t>
      </w:r>
    </w:p>
    <w:p>
      <w:pPr>
        <w:numPr>
          <w:ilvl w:val="0"/>
          <w:numId w:val="0"/>
        </w:numPr>
        <w:spacing w:after="0" w:line="360" w:lineRule="auto"/>
        <w:ind w:leftChars="200" w:right="0" w:rightChars="0"/>
        <w:jc w:val="both"/>
        <w:rPr>
          <w:rFonts w:hint="eastAsia" w:ascii="仿宋" w:hAnsi="仿宋" w:eastAsia="仿宋" w:cs="仿宋"/>
          <w:b/>
          <w:bCs/>
          <w:color w:val="auto"/>
          <w:sz w:val="28"/>
          <w:szCs w:val="28"/>
          <w:lang w:eastAsia="zh-CN"/>
        </w:rPr>
      </w:pPr>
      <w:r>
        <w:rPr>
          <w:rFonts w:hint="eastAsia" w:ascii="仿宋" w:hAnsi="仿宋" w:eastAsia="仿宋" w:cs="仿宋"/>
          <w:b/>
          <w:bCs/>
          <w:color w:val="auto"/>
          <w:sz w:val="28"/>
          <w:szCs w:val="28"/>
          <w:lang w:eastAsia="zh-CN"/>
        </w:rPr>
        <w:t>（</w:t>
      </w:r>
      <w:r>
        <w:rPr>
          <w:rFonts w:hint="eastAsia" w:ascii="仿宋" w:hAnsi="仿宋" w:eastAsia="仿宋" w:cs="仿宋"/>
          <w:b/>
          <w:bCs/>
          <w:color w:val="auto"/>
          <w:sz w:val="28"/>
          <w:szCs w:val="28"/>
          <w:lang w:val="en-US" w:eastAsia="zh-CN"/>
        </w:rPr>
        <w:t>2</w:t>
      </w:r>
      <w:r>
        <w:rPr>
          <w:rFonts w:hint="eastAsia" w:ascii="仿宋" w:hAnsi="仿宋" w:eastAsia="仿宋" w:cs="仿宋"/>
          <w:b/>
          <w:bCs/>
          <w:color w:val="auto"/>
          <w:sz w:val="28"/>
          <w:szCs w:val="28"/>
          <w:lang w:eastAsia="zh-CN"/>
        </w:rPr>
        <w:t>）手持喷洒</w:t>
      </w:r>
    </w:p>
    <w:p>
      <w:pPr>
        <w:widowControl w:val="0"/>
        <w:numPr>
          <w:ilvl w:val="0"/>
          <w:numId w:val="0"/>
        </w:numPr>
        <w:autoSpaceDE w:val="0"/>
        <w:autoSpaceDN w:val="0"/>
        <w:spacing w:before="0" w:after="0" w:line="360" w:lineRule="auto"/>
        <w:ind w:right="0" w:rightChars="0" w:firstLine="560" w:firstLineChars="200"/>
        <w:jc w:val="both"/>
        <w:rPr>
          <w:rFonts w:hint="eastAsia" w:ascii="仿宋" w:hAnsi="仿宋" w:eastAsia="仿宋" w:cs="仿宋"/>
          <w:color w:val="auto"/>
          <w:sz w:val="28"/>
          <w:szCs w:val="28"/>
          <w:shd w:val="clear" w:color="auto" w:fill="auto"/>
          <w:lang w:val="en-US" w:eastAsia="zh-CN"/>
        </w:rPr>
      </w:pPr>
      <w:r>
        <w:rPr>
          <w:rFonts w:hint="eastAsia" w:ascii="仿宋" w:hAnsi="仿宋" w:eastAsia="仿宋" w:cs="仿宋"/>
          <w:color w:val="auto"/>
          <w:sz w:val="28"/>
          <w:szCs w:val="28"/>
          <w:shd w:val="clear" w:color="auto" w:fill="auto"/>
          <w:lang w:val="en-US" w:eastAsia="zh-CN"/>
        </w:rPr>
        <w:t>本公司配备的手持喷洒装置是一种便携式喷洒装置，安装在手推车上，移动灵活、操作方便。</w:t>
      </w:r>
    </w:p>
    <w:p>
      <w:pPr>
        <w:widowControl w:val="0"/>
        <w:numPr>
          <w:ilvl w:val="0"/>
          <w:numId w:val="0"/>
        </w:numPr>
        <w:autoSpaceDE w:val="0"/>
        <w:autoSpaceDN w:val="0"/>
        <w:spacing w:before="0" w:after="0" w:line="360" w:lineRule="auto"/>
        <w:ind w:right="0" w:rightChars="0" w:firstLine="560" w:firstLineChars="200"/>
        <w:jc w:val="both"/>
        <w:rPr>
          <w:rFonts w:hint="eastAsia" w:ascii="仿宋" w:hAnsi="仿宋" w:eastAsia="仿宋" w:cs="仿宋"/>
          <w:i w:val="0"/>
          <w:caps w:val="0"/>
          <w:color w:val="auto"/>
          <w:spacing w:val="0"/>
          <w:sz w:val="28"/>
          <w:szCs w:val="28"/>
          <w:shd w:val="clear" w:color="auto" w:fill="auto"/>
        </w:rPr>
      </w:pPr>
      <w:r>
        <w:rPr>
          <w:rFonts w:hint="eastAsia" w:ascii="仿宋" w:hAnsi="仿宋" w:eastAsia="仿宋" w:cs="仿宋"/>
          <w:i w:val="0"/>
          <w:caps w:val="0"/>
          <w:color w:val="auto"/>
          <w:spacing w:val="0"/>
          <w:sz w:val="28"/>
          <w:szCs w:val="28"/>
          <w:shd w:val="clear" w:color="auto" w:fill="auto"/>
        </w:rPr>
        <w:t>设备由手持喷枪、泵站组成。喷枪与泵站通过高压软管快速接头连接。泵站由柴油机驱动柱塞高压泵，使消油剂产生高压，通过喷嘴将消油剂均匀喷洒到浮在水面上的溢油上，在风、浪、流的作用下，将溢油分散掉。</w:t>
      </w:r>
    </w:p>
    <w:p>
      <w:pPr>
        <w:widowControl w:val="0"/>
        <w:numPr>
          <w:ilvl w:val="0"/>
          <w:numId w:val="0"/>
        </w:numPr>
        <w:autoSpaceDE w:val="0"/>
        <w:autoSpaceDN w:val="0"/>
        <w:spacing w:before="0" w:after="0" w:line="360" w:lineRule="auto"/>
        <w:ind w:right="0" w:rightChars="0" w:firstLine="560" w:firstLineChars="200"/>
        <w:jc w:val="both"/>
        <w:rPr>
          <w:rFonts w:hint="eastAsia" w:ascii="仿宋" w:hAnsi="仿宋" w:eastAsia="仿宋" w:cs="仿宋"/>
          <w:i w:val="0"/>
          <w:caps w:val="0"/>
          <w:color w:val="auto"/>
          <w:spacing w:val="0"/>
          <w:sz w:val="28"/>
          <w:szCs w:val="28"/>
          <w:shd w:val="clear" w:color="auto" w:fill="auto"/>
          <w:lang w:val="en-US" w:eastAsia="zh-CN"/>
        </w:rPr>
      </w:pPr>
      <w:r>
        <w:rPr>
          <w:rFonts w:hint="eastAsia" w:ascii="仿宋" w:hAnsi="仿宋" w:eastAsia="仿宋" w:cs="仿宋"/>
          <w:i w:val="0"/>
          <w:caps w:val="0"/>
          <w:color w:val="auto"/>
          <w:spacing w:val="0"/>
          <w:sz w:val="28"/>
          <w:szCs w:val="28"/>
          <w:shd w:val="clear" w:color="auto" w:fill="auto"/>
          <w:lang w:val="en-US" w:eastAsia="zh-CN"/>
        </w:rPr>
        <w:t xml:space="preserve"> 手持喷洒适用于清除水面、码头、岸滩、礁石、室内等场内的小面积的溢油清除，也可用于清洗围油栏、收油机等设备。</w:t>
      </w:r>
    </w:p>
    <w:p>
      <w:pPr>
        <w:pStyle w:val="26"/>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sz w:val="28"/>
          <w:szCs w:val="28"/>
        </w:rPr>
      </w:pPr>
      <w:bookmarkStart w:id="80" w:name="_Toc12870"/>
      <w:r>
        <w:rPr>
          <w:rFonts w:hint="eastAsia" w:ascii="仿宋" w:hAnsi="仿宋" w:eastAsia="仿宋" w:cs="仿宋"/>
          <w:sz w:val="28"/>
          <w:szCs w:val="28"/>
          <w:lang w:val="en-US" w:eastAsia="zh-CN"/>
        </w:rPr>
        <w:t>6</w:t>
      </w:r>
      <w:r>
        <w:rPr>
          <w:rFonts w:hint="eastAsia" w:ascii="仿宋" w:hAnsi="仿宋" w:eastAsia="仿宋" w:cs="仿宋"/>
          <w:sz w:val="28"/>
          <w:szCs w:val="28"/>
        </w:rPr>
        <w:t>.2.3</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吸油材料作业方案</w:t>
      </w:r>
      <w:bookmarkEnd w:id="80"/>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吸油材料作为一种补充手段用于控制和回收溢油，通常被用于吸附少量的油膜。主要通过两种形式，一种是利用吸油材料表面粘附溢油，另一种是通过吸油材料吸收溢油。</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一般在溢油清除行动的最后阶段使用吸油材料，以清除哪些清污设施无法进出地区的薄油膜。吸油材料同样可用于保护或清除某些环境敏感地区，如产卵区、沼泽地带，而这些地区采用其他清除方法如分散剂会带来损害。</w:t>
      </w:r>
    </w:p>
    <w:p>
      <w:pPr>
        <w:pStyle w:val="27"/>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sz w:val="28"/>
          <w:szCs w:val="28"/>
        </w:rPr>
      </w:pPr>
      <w:r>
        <w:rPr>
          <w:rFonts w:hint="eastAsia" w:ascii="仿宋" w:hAnsi="仿宋" w:eastAsia="仿宋" w:cs="仿宋"/>
          <w:sz w:val="28"/>
          <w:szCs w:val="28"/>
          <w:lang w:val="en-US" w:eastAsia="zh-CN"/>
        </w:rPr>
        <w:t>6</w:t>
      </w:r>
      <w:r>
        <w:rPr>
          <w:rFonts w:hint="eastAsia" w:ascii="仿宋" w:hAnsi="仿宋" w:eastAsia="仿宋" w:cs="仿宋"/>
          <w:sz w:val="28"/>
          <w:szCs w:val="28"/>
        </w:rPr>
        <w:t>.2.3.</w:t>
      </w:r>
      <w:r>
        <w:rPr>
          <w:rFonts w:hint="eastAsia" w:ascii="仿宋" w:hAnsi="仿宋" w:eastAsia="仿宋" w:cs="仿宋"/>
          <w:sz w:val="28"/>
          <w:szCs w:val="28"/>
          <w:lang w:val="en-US" w:eastAsia="zh-CN"/>
        </w:rPr>
        <w:t xml:space="preserve">1 </w:t>
      </w:r>
      <w:r>
        <w:rPr>
          <w:rFonts w:hint="eastAsia" w:ascii="仿宋" w:hAnsi="仿宋" w:eastAsia="仿宋" w:cs="仿宋"/>
          <w:sz w:val="28"/>
          <w:szCs w:val="28"/>
        </w:rPr>
        <w:t>本公司吸油材料的配备情况</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本公司配备了吸油拖栏、吸油毡和化学吸收剂，详见表</w:t>
      </w:r>
      <w:r>
        <w:rPr>
          <w:rFonts w:hint="eastAsia" w:ascii="仿宋" w:hAnsi="仿宋" w:eastAsia="仿宋" w:cs="仿宋"/>
          <w:sz w:val="28"/>
          <w:szCs w:val="28"/>
          <w:lang w:val="en-US" w:eastAsia="zh-CN"/>
        </w:rPr>
        <w:t>6</w:t>
      </w:r>
      <w:r>
        <w:rPr>
          <w:rFonts w:hint="eastAsia" w:ascii="仿宋" w:hAnsi="仿宋" w:eastAsia="仿宋" w:cs="仿宋"/>
          <w:sz w:val="28"/>
          <w:szCs w:val="28"/>
        </w:rPr>
        <w:t>-13。</w:t>
      </w:r>
    </w:p>
    <w:p>
      <w:pPr>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sz w:val="28"/>
          <w:szCs w:val="28"/>
        </w:rPr>
      </w:pPr>
      <w:r>
        <w:rPr>
          <w:rFonts w:hint="eastAsia" w:ascii="仿宋" w:hAnsi="仿宋" w:eastAsia="仿宋" w:cs="仿宋"/>
          <w:b/>
          <w:sz w:val="28"/>
          <w:szCs w:val="28"/>
        </w:rPr>
        <w:t>表</w:t>
      </w:r>
      <w:r>
        <w:rPr>
          <w:rFonts w:hint="eastAsia" w:ascii="仿宋" w:hAnsi="仿宋" w:eastAsia="仿宋" w:cs="仿宋"/>
          <w:b/>
          <w:sz w:val="28"/>
          <w:szCs w:val="28"/>
          <w:lang w:val="en-US" w:eastAsia="zh-CN"/>
        </w:rPr>
        <w:t>6</w:t>
      </w:r>
      <w:r>
        <w:rPr>
          <w:rFonts w:hint="eastAsia" w:ascii="仿宋" w:hAnsi="仿宋" w:eastAsia="仿宋" w:cs="仿宋"/>
          <w:b/>
          <w:sz w:val="28"/>
          <w:szCs w:val="28"/>
        </w:rPr>
        <w:t>-13 本公司吸油材料配备情况</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18"/>
        <w:gridCol w:w="1280"/>
        <w:gridCol w:w="1130"/>
        <w:gridCol w:w="967"/>
        <w:gridCol w:w="1335"/>
        <w:gridCol w:w="357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26"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序号</w:t>
            </w:r>
          </w:p>
        </w:tc>
        <w:tc>
          <w:tcPr>
            <w:tcW w:w="1294"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名称</w:t>
            </w:r>
          </w:p>
        </w:tc>
        <w:tc>
          <w:tcPr>
            <w:tcW w:w="1142"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型号</w:t>
            </w:r>
          </w:p>
        </w:tc>
        <w:tc>
          <w:tcPr>
            <w:tcW w:w="978"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数量</w:t>
            </w:r>
          </w:p>
        </w:tc>
        <w:tc>
          <w:tcPr>
            <w:tcW w:w="1350"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厂家名称</w:t>
            </w:r>
          </w:p>
        </w:tc>
        <w:tc>
          <w:tcPr>
            <w:tcW w:w="3614"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主要技术参数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26"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1</w:t>
            </w:r>
          </w:p>
        </w:tc>
        <w:tc>
          <w:tcPr>
            <w:tcW w:w="1294"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吸油拖栏</w:t>
            </w:r>
          </w:p>
        </w:tc>
        <w:tc>
          <w:tcPr>
            <w:tcW w:w="1142"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XTL-220</w:t>
            </w:r>
          </w:p>
        </w:tc>
        <w:tc>
          <w:tcPr>
            <w:tcW w:w="978"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lang w:val="en-US" w:eastAsia="zh-CN"/>
              </w:rPr>
              <w:t>1200</w:t>
            </w:r>
            <w:r>
              <w:rPr>
                <w:rFonts w:hint="eastAsia" w:ascii="仿宋" w:hAnsi="仿宋" w:eastAsia="仿宋" w:cs="仿宋"/>
                <w:sz w:val="24"/>
                <w:szCs w:val="24"/>
              </w:rPr>
              <w:t>米</w:t>
            </w:r>
          </w:p>
        </w:tc>
        <w:tc>
          <w:tcPr>
            <w:tcW w:w="1350"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青岛华海</w:t>
            </w:r>
          </w:p>
        </w:tc>
        <w:tc>
          <w:tcPr>
            <w:tcW w:w="3614" w:type="dxa"/>
            <w:tcBorders>
              <w:tl2br w:val="nil"/>
              <w:tr2bl w:val="nil"/>
            </w:tcBorders>
            <w:noWrap w:val="0"/>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吸油能力22kg/m,最大拖曳能力2kn。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26"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2</w:t>
            </w:r>
          </w:p>
        </w:tc>
        <w:tc>
          <w:tcPr>
            <w:tcW w:w="1294"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吸油毡</w:t>
            </w:r>
          </w:p>
        </w:tc>
        <w:tc>
          <w:tcPr>
            <w:tcW w:w="1142"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PP-5</w:t>
            </w:r>
          </w:p>
        </w:tc>
        <w:tc>
          <w:tcPr>
            <w:tcW w:w="978"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lang w:val="en-US" w:eastAsia="zh-CN"/>
              </w:rPr>
              <w:t>6</w:t>
            </w:r>
            <w:r>
              <w:rPr>
                <w:rFonts w:hint="eastAsia" w:ascii="仿宋" w:hAnsi="仿宋" w:eastAsia="仿宋" w:cs="仿宋"/>
                <w:sz w:val="24"/>
                <w:szCs w:val="24"/>
              </w:rPr>
              <w:t>吨</w:t>
            </w:r>
          </w:p>
        </w:tc>
        <w:tc>
          <w:tcPr>
            <w:tcW w:w="1350"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青岛华海</w:t>
            </w:r>
          </w:p>
        </w:tc>
        <w:tc>
          <w:tcPr>
            <w:tcW w:w="3614" w:type="dxa"/>
            <w:tcBorders>
              <w:tl2br w:val="nil"/>
              <w:tr2bl w:val="nil"/>
            </w:tcBorders>
            <w:noWrap w:val="0"/>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达到执行标准：JT-T560-2004</w:t>
            </w:r>
          </w:p>
        </w:tc>
      </w:tr>
    </w:tbl>
    <w:p>
      <w:pPr>
        <w:widowControl w:val="0"/>
        <w:numPr>
          <w:ilvl w:val="0"/>
          <w:numId w:val="0"/>
        </w:numPr>
        <w:autoSpaceDE w:val="0"/>
        <w:autoSpaceDN w:val="0"/>
        <w:spacing w:before="0" w:after="0" w:line="360" w:lineRule="auto"/>
        <w:ind w:right="0" w:rightChars="0" w:firstLine="560" w:firstLineChars="200"/>
        <w:jc w:val="both"/>
        <w:rPr>
          <w:rFonts w:hint="eastAsia" w:ascii="仿宋" w:hAnsi="仿宋" w:eastAsia="仿宋" w:cs="仿宋"/>
          <w:i w:val="0"/>
          <w:caps w:val="0"/>
          <w:color w:val="auto"/>
          <w:spacing w:val="0"/>
          <w:sz w:val="28"/>
          <w:szCs w:val="28"/>
          <w:shd w:val="clear" w:color="auto" w:fill="auto"/>
          <w:lang w:val="en-US" w:eastAsia="zh-CN"/>
        </w:rPr>
      </w:pPr>
    </w:p>
    <w:p>
      <w:pPr>
        <w:pStyle w:val="27"/>
        <w:keepLines w:val="0"/>
        <w:pageBreakBefore w:val="0"/>
        <w:widowControl/>
        <w:kinsoku/>
        <w:wordWrap/>
        <w:overflowPunct/>
        <w:topLinePunct w:val="0"/>
        <w:autoSpaceDE/>
        <w:autoSpaceDN/>
        <w:bidi w:val="0"/>
        <w:adjustRightInd/>
        <w:snapToGrid/>
        <w:spacing w:before="0" w:beforeLines="-2147483648" w:beforeAutospacing="0" w:after="0" w:afterLines="-2147483648" w:afterAutospacing="0" w:line="360" w:lineRule="auto"/>
        <w:ind w:left="0" w:right="0"/>
        <w:jc w:val="both"/>
        <w:textAlignment w:val="auto"/>
        <w:rPr>
          <w:rFonts w:hint="eastAsia" w:ascii="仿宋" w:hAnsi="仿宋" w:eastAsia="仿宋" w:cs="仿宋"/>
          <w:bCs/>
          <w:sz w:val="28"/>
          <w:szCs w:val="28"/>
          <w:lang w:val="en-US" w:bidi="ar-SA"/>
        </w:rPr>
      </w:pPr>
      <w:r>
        <w:rPr>
          <w:rFonts w:hint="eastAsia" w:ascii="仿宋" w:hAnsi="仿宋" w:eastAsia="仿宋" w:cs="仿宋"/>
          <w:color w:val="auto"/>
          <w:sz w:val="28"/>
          <w:szCs w:val="28"/>
          <w:lang w:val="en-US" w:eastAsia="zh-CN"/>
        </w:rPr>
        <w:t xml:space="preserve">     6</w:t>
      </w:r>
      <w:r>
        <w:rPr>
          <w:rFonts w:hint="eastAsia" w:ascii="仿宋" w:hAnsi="仿宋" w:eastAsia="仿宋" w:cs="仿宋"/>
          <w:bCs/>
          <w:sz w:val="28"/>
          <w:szCs w:val="28"/>
          <w:lang w:val="en-US" w:bidi="ar-SA"/>
        </w:rPr>
        <w:t>.2.</w:t>
      </w:r>
      <w:r>
        <w:rPr>
          <w:rFonts w:hint="eastAsia" w:ascii="仿宋" w:hAnsi="仿宋" w:eastAsia="仿宋" w:cs="仿宋"/>
          <w:bCs/>
          <w:sz w:val="28"/>
          <w:szCs w:val="28"/>
          <w:lang w:val="en-US" w:eastAsia="zh-CN" w:bidi="ar-SA"/>
        </w:rPr>
        <w:t>3</w:t>
      </w:r>
      <w:r>
        <w:rPr>
          <w:rFonts w:hint="eastAsia" w:ascii="仿宋" w:hAnsi="仿宋" w:eastAsia="仿宋" w:cs="仿宋"/>
          <w:bCs/>
          <w:sz w:val="28"/>
          <w:szCs w:val="28"/>
          <w:lang w:val="en-US" w:bidi="ar-SA"/>
        </w:rPr>
        <w:t>.</w:t>
      </w:r>
      <w:r>
        <w:rPr>
          <w:rFonts w:hint="eastAsia" w:ascii="仿宋" w:hAnsi="仿宋" w:eastAsia="仿宋" w:cs="仿宋"/>
          <w:bCs/>
          <w:sz w:val="28"/>
          <w:szCs w:val="28"/>
          <w:lang w:val="en-US" w:eastAsia="zh-CN" w:bidi="ar-SA"/>
        </w:rPr>
        <w:t xml:space="preserve">2 </w:t>
      </w:r>
      <w:r>
        <w:rPr>
          <w:rFonts w:hint="eastAsia" w:ascii="仿宋" w:hAnsi="仿宋" w:eastAsia="仿宋" w:cs="仿宋"/>
          <w:bCs/>
          <w:sz w:val="28"/>
          <w:szCs w:val="28"/>
          <w:lang w:val="en-US" w:bidi="ar-SA"/>
        </w:rPr>
        <w:t>吸油材料的类型</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吸附材料按其原料属性分为天然吸附材料与合成吸附材料。除了本公司配备的吸油材料外，在溢油应急过程中，可就地取材的天然吸附材料也是重要的应急物资。</w:t>
      </w:r>
    </w:p>
    <w:p>
      <w:pPr>
        <w:keepLines w:val="0"/>
        <w:pageBreakBefore w:val="0"/>
        <w:widowControl/>
        <w:kinsoku/>
        <w:wordWrap/>
        <w:overflowPunct/>
        <w:topLinePunct w:val="0"/>
        <w:autoSpaceDE/>
        <w:autoSpaceDN/>
        <w:bidi w:val="0"/>
        <w:adjustRightInd/>
        <w:snapToGrid/>
        <w:spacing w:before="0" w:after="0" w:line="360" w:lineRule="auto"/>
        <w:ind w:left="0" w:right="0" w:firstLine="562" w:firstLineChars="200"/>
        <w:jc w:val="both"/>
        <w:textAlignment w:val="auto"/>
        <w:rPr>
          <w:rFonts w:hint="eastAsia" w:ascii="仿宋" w:hAnsi="仿宋" w:eastAsia="仿宋" w:cs="仿宋"/>
          <w:b/>
          <w:sz w:val="28"/>
          <w:szCs w:val="28"/>
          <w:lang w:val="en-US" w:bidi="ar-SA"/>
        </w:rPr>
      </w:pPr>
      <w:r>
        <w:rPr>
          <w:rFonts w:hint="eastAsia" w:ascii="仿宋" w:hAnsi="仿宋" w:eastAsia="仿宋" w:cs="仿宋"/>
          <w:b/>
          <w:sz w:val="28"/>
          <w:szCs w:val="28"/>
          <w:lang w:val="en-US" w:bidi="ar-SA"/>
        </w:rPr>
        <w:t>（1）天然吸附材料</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天然吸附材料主要有稻草、泥煤、锯末、鸡毛、玉米秸、碳灰块、树皮、珍珠岩、蛭石和火山岩等。这些材料容易得到且数量多，吸油能力较好，但有的也吸附水分并会沉入水中，回收起来比较困难。</w:t>
      </w:r>
    </w:p>
    <w:p>
      <w:pPr>
        <w:keepLines w:val="0"/>
        <w:pageBreakBefore w:val="0"/>
        <w:widowControl/>
        <w:kinsoku/>
        <w:wordWrap/>
        <w:overflowPunct/>
        <w:topLinePunct w:val="0"/>
        <w:autoSpaceDE/>
        <w:autoSpaceDN/>
        <w:bidi w:val="0"/>
        <w:adjustRightInd/>
        <w:snapToGrid/>
        <w:spacing w:before="0" w:after="0" w:line="360" w:lineRule="auto"/>
        <w:ind w:left="0" w:right="0" w:firstLine="562" w:firstLineChars="200"/>
        <w:jc w:val="both"/>
        <w:textAlignment w:val="auto"/>
        <w:rPr>
          <w:rFonts w:hint="eastAsia" w:ascii="仿宋" w:hAnsi="仿宋" w:eastAsia="仿宋" w:cs="仿宋"/>
          <w:b/>
          <w:sz w:val="28"/>
          <w:szCs w:val="28"/>
          <w:lang w:val="en-US" w:bidi="ar-SA"/>
        </w:rPr>
      </w:pPr>
      <w:r>
        <w:rPr>
          <w:rFonts w:hint="eastAsia" w:ascii="仿宋" w:hAnsi="仿宋" w:eastAsia="仿宋" w:cs="仿宋"/>
          <w:b/>
          <w:sz w:val="28"/>
          <w:szCs w:val="28"/>
          <w:lang w:val="en-US" w:bidi="ar-SA"/>
        </w:rPr>
        <w:t>（2）合成吸附材料</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合成吸附材料主要包括聚氨酯、聚乙烯、聚丙烯、尼龙纤维和尿素甲醛泡沫等材料。合成吸附材料具有较高的亲油性和疏水性，吸油量是其自身重量的10-25倍，有些合成吸附材料可以重复使用3-5次。</w:t>
      </w:r>
    </w:p>
    <w:p>
      <w:pPr>
        <w:spacing w:line="360" w:lineRule="auto"/>
        <w:ind w:firstLine="560" w:firstLineChars="200"/>
        <w:jc w:val="both"/>
        <w:rPr>
          <w:rFonts w:hint="eastAsia" w:ascii="仿宋" w:hAnsi="仿宋" w:eastAsia="仿宋" w:cs="仿宋"/>
          <w:sz w:val="28"/>
          <w:szCs w:val="28"/>
          <w:lang w:val="en-US"/>
        </w:rPr>
      </w:pPr>
      <w:r>
        <w:rPr>
          <w:rFonts w:hint="eastAsia" w:ascii="仿宋" w:hAnsi="仿宋" w:eastAsia="仿宋" w:cs="仿宋"/>
          <w:sz w:val="28"/>
          <w:szCs w:val="28"/>
          <w:lang w:val="en-US"/>
        </w:rPr>
        <w:t>常用的合成吸附材料有多种形状，如带状、片状、毯子、垫状，松散的粒状，绑扎成枕头、围油栏形状的，集聚装置（开口网、有孔泡沫-高粘度油）等。根据使用习惯，合成吸附材料可分为吸油毡、吸油栏和吸油颗粒。</w:t>
      </w:r>
    </w:p>
    <w:p>
      <w:pPr>
        <w:spacing w:line="360" w:lineRule="auto"/>
        <w:ind w:firstLine="560" w:firstLineChars="200"/>
        <w:jc w:val="both"/>
        <w:rPr>
          <w:rFonts w:hint="eastAsia" w:ascii="仿宋" w:hAnsi="仿宋" w:eastAsia="仿宋" w:cs="仿宋"/>
          <w:sz w:val="28"/>
          <w:szCs w:val="28"/>
          <w:lang w:val="en-US"/>
        </w:rPr>
      </w:pPr>
      <w:r>
        <w:rPr>
          <w:rFonts w:hint="eastAsia" w:ascii="仿宋" w:hAnsi="仿宋" w:eastAsia="仿宋" w:cs="仿宋"/>
          <w:sz w:val="28"/>
          <w:szCs w:val="28"/>
          <w:lang w:val="en-US"/>
        </w:rPr>
        <w:t>通常有必要回收浸油材料，以防止加重溢油造成的不良影响。收油机会被吸油材料阻塞，所以使用吸附材料回收油时，人工回收常常是唯一的方法。</w:t>
      </w:r>
    </w:p>
    <w:p>
      <w:pPr>
        <w:spacing w:line="360" w:lineRule="auto"/>
        <w:ind w:firstLine="562" w:firstLineChars="200"/>
        <w:jc w:val="both"/>
        <w:rPr>
          <w:rFonts w:hint="eastAsia" w:ascii="仿宋" w:hAnsi="仿宋" w:eastAsia="仿宋" w:cs="仿宋"/>
          <w:b/>
          <w:bCs/>
          <w:sz w:val="28"/>
          <w:szCs w:val="28"/>
          <w:lang w:val="en-US" w:eastAsia="zh-CN"/>
        </w:rPr>
      </w:pPr>
      <w:r>
        <w:rPr>
          <w:rFonts w:hint="eastAsia" w:ascii="仿宋" w:hAnsi="仿宋" w:eastAsia="仿宋" w:cs="仿宋"/>
          <w:b/>
          <w:bCs/>
          <w:sz w:val="28"/>
          <w:szCs w:val="28"/>
          <w:lang w:val="en-US" w:eastAsia="zh-CN"/>
        </w:rPr>
        <w:t>6.2.3.3 吸油材料的使用</w:t>
      </w:r>
    </w:p>
    <w:p>
      <w:pPr>
        <w:spacing w:line="360" w:lineRule="auto"/>
        <w:ind w:firstLine="562" w:firstLineChars="200"/>
        <w:jc w:val="both"/>
        <w:rPr>
          <w:rFonts w:hint="eastAsia" w:ascii="仿宋" w:hAnsi="仿宋" w:eastAsia="仿宋" w:cs="仿宋"/>
          <w:sz w:val="28"/>
          <w:szCs w:val="28"/>
          <w:lang w:val="en-US"/>
        </w:rPr>
      </w:pPr>
      <w:r>
        <w:rPr>
          <w:rFonts w:hint="eastAsia" w:ascii="仿宋" w:hAnsi="仿宋" w:eastAsia="仿宋" w:cs="仿宋"/>
          <w:b/>
          <w:bCs/>
          <w:sz w:val="28"/>
          <w:szCs w:val="28"/>
          <w:lang w:val="en-US"/>
        </w:rPr>
        <w:t>（1）吸油毡</w:t>
      </w:r>
    </w:p>
    <w:p>
      <w:pPr>
        <w:spacing w:line="360" w:lineRule="auto"/>
        <w:ind w:firstLine="560" w:firstLineChars="200"/>
        <w:jc w:val="both"/>
        <w:rPr>
          <w:rFonts w:hint="eastAsia" w:ascii="仿宋" w:hAnsi="仿宋" w:eastAsia="仿宋" w:cs="仿宋"/>
          <w:sz w:val="28"/>
          <w:szCs w:val="28"/>
          <w:lang w:val="en-US"/>
        </w:rPr>
      </w:pPr>
      <w:r>
        <w:rPr>
          <w:rFonts w:hint="eastAsia" w:ascii="仿宋" w:hAnsi="仿宋" w:eastAsia="仿宋" w:cs="仿宋"/>
          <w:sz w:val="28"/>
          <w:szCs w:val="28"/>
          <w:lang w:val="en-US"/>
        </w:rPr>
        <w:t>吸油毡是最常见、也是最常用的合成吸附材料。吸油毡一般围在机械周围，吸收机械泄漏的油，也可以吸附水面溢油。</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如果选择较长的吸油毡（50 m）吸附油，应首先确定其断裂负荷。因为50 m长的吸油毡，吸满油后是重量增加很多，很难将其完好地回收起来。</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如果使用片状吸油材料，其回收困难，而且耗时。</w:t>
      </w:r>
    </w:p>
    <w:p>
      <w:pPr>
        <w:keepLines w:val="0"/>
        <w:pageBreakBefore w:val="0"/>
        <w:widowControl/>
        <w:kinsoku/>
        <w:wordWrap/>
        <w:overflowPunct/>
        <w:topLinePunct w:val="0"/>
        <w:autoSpaceDE/>
        <w:autoSpaceDN/>
        <w:bidi w:val="0"/>
        <w:adjustRightInd/>
        <w:snapToGrid/>
        <w:spacing w:before="0" w:after="0" w:line="360" w:lineRule="auto"/>
        <w:ind w:left="0" w:right="0" w:firstLine="562" w:firstLineChars="200"/>
        <w:jc w:val="both"/>
        <w:textAlignment w:val="auto"/>
        <w:rPr>
          <w:rFonts w:hint="eastAsia" w:ascii="仿宋" w:hAnsi="仿宋" w:eastAsia="仿宋" w:cs="仿宋"/>
          <w:b/>
          <w:sz w:val="28"/>
          <w:szCs w:val="28"/>
          <w:lang w:val="en-US" w:bidi="ar-SA"/>
        </w:rPr>
      </w:pPr>
      <w:r>
        <w:rPr>
          <w:rFonts w:hint="eastAsia" w:ascii="仿宋" w:hAnsi="仿宋" w:eastAsia="仿宋" w:cs="仿宋"/>
          <w:b/>
          <w:sz w:val="28"/>
          <w:szCs w:val="28"/>
          <w:lang w:val="en-US" w:bidi="ar-SA"/>
        </w:rPr>
        <w:t>（2）吸油围栏</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吸油围栏是将吸油毡加工成直径一般为10～30 cm，每节长3～5 m，可以用具有相应强度的绳子制成上百米，甚至更长，两端有快速释放接头。吸油栏也可以做成宽30～40 cm的带状吸油栏。</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①</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用于排水口／取水口的吸油栏：一般长3-5 m，直径10-30 cm，这种吸油栏也可与其它围油栏连接，形成15～20 m长的吸油围油栏。但是，这种围油栏很难处理并易造成破损。</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②</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导向吸油栏：是附带吸油材料的长绳，类似缆绳，可以将其布放在流速大的水域回收较高粘度的油，对粘度较低的油只起导向作用。</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③</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围控吸油栏：浮子就是吸油材料，起着吸油作用，吸油材料的下面有裙体，可以起到溢油围控作用。</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吸油毡或吸油栏可以通过专用挤压设备将溢油从吸油毡或吸油栏中挤出来，挤压后能重复使用。</w:t>
      </w:r>
    </w:p>
    <w:p>
      <w:pPr>
        <w:keepLines w:val="0"/>
        <w:pageBreakBefore w:val="0"/>
        <w:widowControl/>
        <w:kinsoku/>
        <w:wordWrap/>
        <w:overflowPunct/>
        <w:topLinePunct w:val="0"/>
        <w:autoSpaceDE/>
        <w:autoSpaceDN/>
        <w:bidi w:val="0"/>
        <w:adjustRightInd/>
        <w:snapToGrid/>
        <w:spacing w:before="0" w:after="0" w:line="360" w:lineRule="auto"/>
        <w:ind w:left="0" w:right="0" w:firstLine="420" w:firstLineChars="150"/>
        <w:jc w:val="both"/>
        <w:textAlignment w:val="auto"/>
        <w:rPr>
          <w:rFonts w:hint="eastAsia" w:ascii="仿宋" w:hAnsi="仿宋" w:eastAsia="仿宋" w:cs="仿宋"/>
          <w:bCs/>
          <w:sz w:val="28"/>
          <w:szCs w:val="28"/>
          <w:lang w:val="en-US" w:bidi="ar-SA"/>
        </w:rPr>
      </w:pPr>
      <w:r>
        <w:rPr>
          <w:rFonts w:hint="eastAsia" w:ascii="仿宋" w:hAnsi="仿宋" w:eastAsia="仿宋" w:cs="仿宋"/>
          <w:bCs/>
          <w:sz w:val="28"/>
          <w:szCs w:val="28"/>
          <w:lang w:val="en-US" w:bidi="ar-SA"/>
        </w:rPr>
        <w:t>优点：</w:t>
      </w:r>
    </w:p>
    <w:p>
      <w:pPr>
        <w:keepLines w:val="0"/>
        <w:pageBreakBefore w:val="0"/>
        <w:widowControl w:val="0"/>
        <w:numPr>
          <w:ilvl w:val="0"/>
          <w:numId w:val="0"/>
        </w:numPr>
        <w:tabs>
          <w:tab w:val="left" w:pos="993"/>
        </w:tabs>
        <w:kinsoku/>
        <w:wordWrap/>
        <w:overflowPunct/>
        <w:topLinePunct w:val="0"/>
        <w:autoSpaceDE/>
        <w:autoSpaceDN/>
        <w:bidi w:val="0"/>
        <w:adjustRightInd/>
        <w:snapToGrid/>
        <w:spacing w:before="0" w:after="0" w:line="360" w:lineRule="auto"/>
        <w:ind w:right="0" w:rightChars="0" w:firstLine="840" w:firstLineChars="3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能够吸附油层很薄的油膜</w:t>
      </w:r>
    </w:p>
    <w:p>
      <w:pPr>
        <w:keepLines w:val="0"/>
        <w:pageBreakBefore w:val="0"/>
        <w:widowControl w:val="0"/>
        <w:numPr>
          <w:ilvl w:val="0"/>
          <w:numId w:val="0"/>
        </w:numPr>
        <w:tabs>
          <w:tab w:val="left" w:pos="993"/>
        </w:tabs>
        <w:kinsoku/>
        <w:wordWrap/>
        <w:overflowPunct/>
        <w:topLinePunct w:val="0"/>
        <w:autoSpaceDE/>
        <w:autoSpaceDN/>
        <w:bidi w:val="0"/>
        <w:adjustRightInd/>
        <w:snapToGrid/>
        <w:spacing w:before="0" w:after="0" w:line="360" w:lineRule="auto"/>
        <w:ind w:right="0" w:rightChars="0" w:firstLine="840" w:firstLineChars="3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回收油含水量较少</w:t>
      </w:r>
    </w:p>
    <w:p>
      <w:pPr>
        <w:keepLines w:val="0"/>
        <w:pageBreakBefore w:val="0"/>
        <w:widowControl w:val="0"/>
        <w:numPr>
          <w:ilvl w:val="0"/>
          <w:numId w:val="0"/>
        </w:numPr>
        <w:tabs>
          <w:tab w:val="left" w:pos="993"/>
        </w:tabs>
        <w:kinsoku/>
        <w:wordWrap/>
        <w:overflowPunct/>
        <w:topLinePunct w:val="0"/>
        <w:autoSpaceDE/>
        <w:autoSpaceDN/>
        <w:bidi w:val="0"/>
        <w:adjustRightInd/>
        <w:snapToGrid/>
        <w:spacing w:before="0" w:after="0" w:line="360" w:lineRule="auto"/>
        <w:ind w:right="0" w:rightChars="0" w:firstLine="840" w:firstLineChars="3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轻便、容易操作</w:t>
      </w:r>
    </w:p>
    <w:p>
      <w:pPr>
        <w:keepLines w:val="0"/>
        <w:pageBreakBefore w:val="0"/>
        <w:widowControl/>
        <w:kinsoku/>
        <w:wordWrap/>
        <w:overflowPunct/>
        <w:topLinePunct w:val="0"/>
        <w:autoSpaceDE/>
        <w:autoSpaceDN/>
        <w:bidi w:val="0"/>
        <w:adjustRightInd/>
        <w:snapToGrid/>
        <w:spacing w:before="0" w:after="0" w:line="360" w:lineRule="auto"/>
        <w:ind w:left="0" w:right="0" w:firstLine="420" w:firstLineChars="150"/>
        <w:jc w:val="both"/>
        <w:textAlignment w:val="auto"/>
        <w:rPr>
          <w:rFonts w:hint="eastAsia" w:ascii="仿宋" w:hAnsi="仿宋" w:eastAsia="仿宋" w:cs="仿宋"/>
          <w:bCs/>
          <w:sz w:val="28"/>
          <w:szCs w:val="28"/>
          <w:lang w:val="en-US" w:bidi="ar-SA"/>
        </w:rPr>
      </w:pPr>
      <w:r>
        <w:rPr>
          <w:rFonts w:hint="eastAsia" w:ascii="仿宋" w:hAnsi="仿宋" w:eastAsia="仿宋" w:cs="仿宋"/>
          <w:bCs/>
          <w:sz w:val="28"/>
          <w:szCs w:val="28"/>
          <w:lang w:val="en-US" w:bidi="ar-SA"/>
        </w:rPr>
        <w:t>缺点：</w:t>
      </w:r>
    </w:p>
    <w:p>
      <w:pPr>
        <w:keepLines w:val="0"/>
        <w:pageBreakBefore w:val="0"/>
        <w:widowControl w:val="0"/>
        <w:numPr>
          <w:ilvl w:val="0"/>
          <w:numId w:val="0"/>
        </w:numPr>
        <w:tabs>
          <w:tab w:val="left" w:pos="993"/>
        </w:tabs>
        <w:kinsoku/>
        <w:wordWrap/>
        <w:overflowPunct/>
        <w:topLinePunct w:val="0"/>
        <w:autoSpaceDE/>
        <w:autoSpaceDN/>
        <w:bidi w:val="0"/>
        <w:adjustRightInd/>
        <w:snapToGrid/>
        <w:spacing w:before="0" w:after="0" w:line="360" w:lineRule="auto"/>
        <w:ind w:right="0" w:rightChars="0" w:firstLine="840" w:firstLineChars="3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当浸油后，吸附材料很重，回收和运输困难</w:t>
      </w:r>
    </w:p>
    <w:p>
      <w:pPr>
        <w:keepLines w:val="0"/>
        <w:pageBreakBefore w:val="0"/>
        <w:widowControl w:val="0"/>
        <w:numPr>
          <w:ilvl w:val="0"/>
          <w:numId w:val="0"/>
        </w:numPr>
        <w:tabs>
          <w:tab w:val="left" w:pos="993"/>
        </w:tabs>
        <w:kinsoku/>
        <w:wordWrap/>
        <w:overflowPunct/>
        <w:topLinePunct w:val="0"/>
        <w:autoSpaceDE/>
        <w:autoSpaceDN/>
        <w:bidi w:val="0"/>
        <w:adjustRightInd/>
        <w:snapToGrid/>
        <w:spacing w:before="0" w:after="0" w:line="360" w:lineRule="auto"/>
        <w:ind w:right="0" w:rightChars="0" w:firstLine="840" w:firstLineChars="3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回收片状材料困难</w:t>
      </w:r>
    </w:p>
    <w:p>
      <w:pPr>
        <w:keepLines w:val="0"/>
        <w:pageBreakBefore w:val="0"/>
        <w:widowControl w:val="0"/>
        <w:numPr>
          <w:ilvl w:val="0"/>
          <w:numId w:val="0"/>
        </w:numPr>
        <w:tabs>
          <w:tab w:val="left" w:pos="993"/>
        </w:tabs>
        <w:kinsoku/>
        <w:wordWrap/>
        <w:overflowPunct/>
        <w:topLinePunct w:val="0"/>
        <w:autoSpaceDE/>
        <w:autoSpaceDN/>
        <w:bidi w:val="0"/>
        <w:adjustRightInd/>
        <w:snapToGrid/>
        <w:spacing w:before="0" w:after="0" w:line="360" w:lineRule="auto"/>
        <w:ind w:right="0" w:rightChars="0" w:firstLine="840" w:firstLineChars="3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w:t>
      </w:r>
      <w:r>
        <w:rPr>
          <w:rFonts w:hint="eastAsia" w:ascii="仿宋" w:hAnsi="仿宋" w:eastAsia="仿宋" w:cs="仿宋"/>
          <w:sz w:val="28"/>
          <w:szCs w:val="28"/>
          <w:lang w:val="en-US" w:eastAsia="zh-CN" w:bidi="ar-SA"/>
        </w:rPr>
        <w:t xml:space="preserve"> </w:t>
      </w:r>
      <w:r>
        <w:rPr>
          <w:rFonts w:hint="eastAsia" w:ascii="仿宋" w:hAnsi="仿宋" w:eastAsia="仿宋" w:cs="仿宋"/>
          <w:sz w:val="28"/>
          <w:szCs w:val="28"/>
          <w:lang w:val="en-US" w:bidi="ar-SA"/>
        </w:rPr>
        <w:t>自由漂浮的吸附材料可能影响收油机的工作</w:t>
      </w:r>
    </w:p>
    <w:p>
      <w:pPr>
        <w:keepLines w:val="0"/>
        <w:pageBreakBefore w:val="0"/>
        <w:widowControl/>
        <w:kinsoku/>
        <w:wordWrap/>
        <w:overflowPunct/>
        <w:topLinePunct w:val="0"/>
        <w:autoSpaceDE/>
        <w:autoSpaceDN/>
        <w:bidi w:val="0"/>
        <w:adjustRightInd/>
        <w:snapToGrid/>
        <w:spacing w:before="0" w:after="0" w:line="360" w:lineRule="auto"/>
        <w:ind w:left="0" w:right="0" w:firstLine="562" w:firstLineChars="200"/>
        <w:jc w:val="both"/>
        <w:textAlignment w:val="auto"/>
        <w:rPr>
          <w:rFonts w:hint="eastAsia" w:ascii="仿宋" w:hAnsi="仿宋" w:eastAsia="仿宋" w:cs="仿宋"/>
          <w:b/>
          <w:sz w:val="28"/>
          <w:szCs w:val="28"/>
          <w:lang w:val="en-US" w:bidi="ar-SA"/>
        </w:rPr>
      </w:pPr>
      <w:r>
        <w:rPr>
          <w:rFonts w:hint="eastAsia" w:ascii="仿宋" w:hAnsi="仿宋" w:eastAsia="仿宋" w:cs="仿宋"/>
          <w:b/>
          <w:sz w:val="28"/>
          <w:szCs w:val="28"/>
          <w:lang w:val="en-US" w:bidi="ar-SA"/>
        </w:rPr>
        <w:t>（3）吸附颗粒</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吸附颗粒是松散型的，易撒到水面，但在风和流的影响下很难全部回收。有时使用孔径比吸附颗粒小的长网与吹风机一起使用，将吸附颗粒吹进网里，形成一个长而移动的吸油栏。</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在溢油应急行动中，天然吸附材料不便使用时，应考虑使用吸油毡或吸油栏。</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使用片状吸油毡回收收油机不能到达区域内的溢油和收油机不能回收的油膜，吸油毡吸附溢油后，再使用收油网回收吸油毡。</w:t>
      </w:r>
    </w:p>
    <w:p>
      <w:pPr>
        <w:keepLines w:val="0"/>
        <w:pageBreakBefore w:val="0"/>
        <w:widowControl/>
        <w:kinsoku/>
        <w:wordWrap/>
        <w:overflowPunct/>
        <w:topLinePunct w:val="0"/>
        <w:autoSpaceDE/>
        <w:autoSpaceDN/>
        <w:bidi w:val="0"/>
        <w:adjustRightInd/>
        <w:snapToGrid/>
        <w:spacing w:before="0" w:after="0" w:line="360" w:lineRule="auto"/>
        <w:ind w:left="0" w:right="0" w:firstLine="560" w:firstLineChars="200"/>
        <w:jc w:val="both"/>
        <w:textAlignment w:val="auto"/>
        <w:rPr>
          <w:rFonts w:hint="eastAsia" w:ascii="仿宋" w:hAnsi="仿宋" w:eastAsia="仿宋" w:cs="仿宋"/>
          <w:sz w:val="28"/>
          <w:szCs w:val="28"/>
          <w:lang w:val="en-US" w:bidi="ar-SA"/>
        </w:rPr>
      </w:pPr>
      <w:r>
        <w:rPr>
          <w:rFonts w:hint="eastAsia" w:ascii="仿宋" w:hAnsi="仿宋" w:eastAsia="仿宋" w:cs="仿宋"/>
          <w:sz w:val="28"/>
          <w:szCs w:val="28"/>
          <w:lang w:val="en-US" w:bidi="ar-SA"/>
        </w:rPr>
        <w:t>使用吸油栏可以回收大面积的薄油层，也可以围控溢油。</w:t>
      </w:r>
    </w:p>
    <w:p>
      <w:pPr>
        <w:spacing w:line="360" w:lineRule="auto"/>
        <w:ind w:firstLine="560" w:firstLineChars="200"/>
        <w:jc w:val="both"/>
        <w:rPr>
          <w:rFonts w:hint="eastAsia" w:ascii="仿宋" w:hAnsi="仿宋" w:eastAsia="仿宋" w:cs="仿宋"/>
          <w:sz w:val="28"/>
          <w:szCs w:val="28"/>
          <w:lang w:val="en-US"/>
        </w:rPr>
      </w:pPr>
      <w:r>
        <w:rPr>
          <w:rFonts w:hint="eastAsia" w:ascii="仿宋" w:hAnsi="仿宋" w:eastAsia="仿宋" w:cs="仿宋"/>
          <w:sz w:val="28"/>
          <w:szCs w:val="28"/>
          <w:lang w:val="en-US"/>
        </w:rPr>
        <w:t>在开阔水域将吸油栏布放在围油栏的内侧，可以起到防浪作用，防止波浪造成溢油的逃逸，提高围油栏的围控效果。</w:t>
      </w:r>
    </w:p>
    <w:p>
      <w:pPr>
        <w:spacing w:line="360" w:lineRule="auto"/>
        <w:ind w:firstLine="560" w:firstLineChars="200"/>
        <w:jc w:val="both"/>
        <w:rPr>
          <w:rFonts w:hint="eastAsia" w:ascii="仿宋" w:hAnsi="仿宋" w:eastAsia="仿宋" w:cs="仿宋"/>
          <w:sz w:val="28"/>
          <w:szCs w:val="28"/>
          <w:lang w:val="en-US"/>
        </w:rPr>
      </w:pPr>
      <w:r>
        <w:rPr>
          <w:rFonts w:hint="eastAsia" w:ascii="仿宋" w:hAnsi="仿宋" w:eastAsia="仿宋" w:cs="仿宋"/>
          <w:sz w:val="28"/>
          <w:szCs w:val="28"/>
          <w:lang w:val="en-US"/>
        </w:rPr>
        <w:t>天然吸附材料与合成吸附材料的性能及其使用归纳为表</w:t>
      </w:r>
      <w:r>
        <w:rPr>
          <w:rFonts w:hint="eastAsia" w:ascii="仿宋" w:hAnsi="仿宋" w:eastAsia="仿宋" w:cs="仿宋"/>
          <w:sz w:val="28"/>
          <w:szCs w:val="28"/>
          <w:lang w:val="en-US" w:eastAsia="zh-CN"/>
        </w:rPr>
        <w:t>6</w:t>
      </w:r>
      <w:r>
        <w:rPr>
          <w:rFonts w:hint="eastAsia" w:ascii="仿宋" w:hAnsi="仿宋" w:eastAsia="仿宋" w:cs="仿宋"/>
          <w:sz w:val="28"/>
          <w:szCs w:val="28"/>
          <w:lang w:val="en-US"/>
        </w:rPr>
        <w:t>-14与表</w:t>
      </w:r>
      <w:r>
        <w:rPr>
          <w:rFonts w:hint="eastAsia" w:ascii="仿宋" w:hAnsi="仿宋" w:eastAsia="仿宋" w:cs="仿宋"/>
          <w:sz w:val="28"/>
          <w:szCs w:val="28"/>
          <w:lang w:val="en-US" w:eastAsia="zh-CN"/>
        </w:rPr>
        <w:t>6</w:t>
      </w:r>
      <w:r>
        <w:rPr>
          <w:rFonts w:hint="eastAsia" w:ascii="仿宋" w:hAnsi="仿宋" w:eastAsia="仿宋" w:cs="仿宋"/>
          <w:sz w:val="28"/>
          <w:szCs w:val="28"/>
          <w:lang w:val="en-US"/>
        </w:rPr>
        <w:t>-15。</w:t>
      </w:r>
    </w:p>
    <w:p>
      <w:pPr>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sz w:val="28"/>
          <w:szCs w:val="28"/>
        </w:rPr>
      </w:pPr>
      <w:r>
        <w:rPr>
          <w:rFonts w:hint="eastAsia" w:ascii="仿宋" w:hAnsi="仿宋" w:eastAsia="仿宋" w:cs="仿宋"/>
          <w:b/>
          <w:sz w:val="28"/>
          <w:szCs w:val="28"/>
        </w:rPr>
        <w:t>表</w:t>
      </w:r>
      <w:r>
        <w:rPr>
          <w:rFonts w:hint="eastAsia" w:ascii="仿宋" w:hAnsi="仿宋" w:eastAsia="仿宋" w:cs="仿宋"/>
          <w:b/>
          <w:sz w:val="28"/>
          <w:szCs w:val="28"/>
          <w:lang w:val="en-US" w:eastAsia="zh-CN"/>
        </w:rPr>
        <w:t>6</w:t>
      </w:r>
      <w:r>
        <w:rPr>
          <w:rFonts w:hint="eastAsia" w:ascii="仿宋" w:hAnsi="仿宋" w:eastAsia="仿宋" w:cs="仿宋"/>
          <w:b/>
          <w:sz w:val="28"/>
          <w:szCs w:val="28"/>
        </w:rPr>
        <w:t>-14 吸油材料的吸油能力对比表</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423"/>
        <w:gridCol w:w="2596"/>
        <w:gridCol w:w="2252"/>
        <w:gridCol w:w="173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tblHeader/>
          <w:jc w:val="center"/>
        </w:trPr>
        <w:tc>
          <w:tcPr>
            <w:tcW w:w="2499" w:type="dxa"/>
            <w:vMerge w:val="restart"/>
            <w:tcBorders>
              <w:tl2br w:val="nil"/>
              <w:tr2bl w:val="nil"/>
            </w:tcBorders>
            <w:noWrap w:val="0"/>
            <w:vAlign w:val="center"/>
          </w:tcPr>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吸油材料</w:t>
            </w:r>
          </w:p>
        </w:tc>
        <w:tc>
          <w:tcPr>
            <w:tcW w:w="5000" w:type="dxa"/>
            <w:gridSpan w:val="2"/>
            <w:tcBorders>
              <w:tl2br w:val="nil"/>
              <w:tr2bl w:val="nil"/>
            </w:tcBorders>
            <w:noWrap w:val="0"/>
            <w:vAlign w:val="center"/>
          </w:tcPr>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最大吸油能力（比率）</w:t>
            </w:r>
          </w:p>
        </w:tc>
        <w:tc>
          <w:tcPr>
            <w:tcW w:w="1787" w:type="dxa"/>
            <w:vMerge w:val="restart"/>
            <w:tcBorders>
              <w:tl2br w:val="nil"/>
              <w:tr2bl w:val="nil"/>
            </w:tcBorders>
            <w:noWrap w:val="0"/>
            <w:vAlign w:val="center"/>
          </w:tcPr>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吸油后是否</w:t>
            </w:r>
          </w:p>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浮于水面</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47" w:hRule="exact"/>
          <w:tblHeader/>
          <w:jc w:val="center"/>
        </w:trPr>
        <w:tc>
          <w:tcPr>
            <w:tcW w:w="2499" w:type="dxa"/>
            <w:vMerge w:val="continue"/>
            <w:tcBorders>
              <w:tl2br w:val="nil"/>
              <w:tr2bl w:val="nil"/>
            </w:tcBorders>
            <w:noWrap w:val="0"/>
            <w:vAlign w:val="top"/>
          </w:tcPr>
          <w:p>
            <w:pPr>
              <w:spacing w:line="240" w:lineRule="auto"/>
              <w:rPr>
                <w:rFonts w:hint="eastAsia" w:ascii="仿宋" w:hAnsi="仿宋" w:eastAsia="仿宋" w:cs="仿宋"/>
                <w:b/>
                <w:sz w:val="24"/>
                <w:szCs w:val="24"/>
              </w:rPr>
            </w:pPr>
          </w:p>
        </w:tc>
        <w:tc>
          <w:tcPr>
            <w:tcW w:w="2678" w:type="dxa"/>
            <w:tcBorders>
              <w:tl2br w:val="nil"/>
              <w:tr2bl w:val="nil"/>
            </w:tcBorders>
            <w:noWrap w:val="0"/>
            <w:vAlign w:val="center"/>
          </w:tcPr>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高粘度油</w:t>
            </w:r>
          </w:p>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（25℃时3000厘拖）</w:t>
            </w:r>
          </w:p>
        </w:tc>
        <w:tc>
          <w:tcPr>
            <w:tcW w:w="2322" w:type="dxa"/>
            <w:tcBorders>
              <w:tl2br w:val="nil"/>
              <w:tr2bl w:val="nil"/>
            </w:tcBorders>
            <w:noWrap w:val="0"/>
            <w:vAlign w:val="center"/>
          </w:tcPr>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低粘度油</w:t>
            </w:r>
          </w:p>
          <w:p>
            <w:pPr>
              <w:spacing w:line="240" w:lineRule="auto"/>
              <w:jc w:val="center"/>
              <w:rPr>
                <w:rFonts w:hint="eastAsia" w:ascii="仿宋" w:hAnsi="仿宋" w:eastAsia="仿宋" w:cs="仿宋"/>
                <w:b/>
                <w:sz w:val="24"/>
                <w:szCs w:val="24"/>
              </w:rPr>
            </w:pPr>
            <w:r>
              <w:rPr>
                <w:rFonts w:hint="eastAsia" w:ascii="仿宋" w:hAnsi="仿宋" w:eastAsia="仿宋" w:cs="仿宋"/>
                <w:b/>
                <w:sz w:val="24"/>
                <w:szCs w:val="24"/>
              </w:rPr>
              <w:t>（25℃时5厘拖）</w:t>
            </w:r>
          </w:p>
        </w:tc>
        <w:tc>
          <w:tcPr>
            <w:tcW w:w="1787" w:type="dxa"/>
            <w:vMerge w:val="continue"/>
            <w:tcBorders>
              <w:tl2br w:val="nil"/>
              <w:tr2bl w:val="nil"/>
            </w:tcBorders>
            <w:noWrap w:val="0"/>
            <w:vAlign w:val="center"/>
          </w:tcPr>
          <w:p>
            <w:pPr>
              <w:spacing w:line="240" w:lineRule="auto"/>
              <w:jc w:val="center"/>
              <w:rPr>
                <w:rFonts w:hint="eastAsia" w:ascii="仿宋" w:hAnsi="仿宋" w:eastAsia="仿宋" w:cs="仿宋"/>
                <w:b/>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蛭石</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4</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3</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火山灰</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20</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6</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玉米秸</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6</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5</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花生壳</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5</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2</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红木皮</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12</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6</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稻草</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6</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2</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泥煤</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4</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7</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聚氨酯泡沫</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70</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60</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尿素甲醛泡沫</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60</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50</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聚乙烯纤维</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35</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30</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聚丙烯纤维</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20</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7</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499"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聚苯乙烯粉</w:t>
            </w:r>
          </w:p>
        </w:tc>
        <w:tc>
          <w:tcPr>
            <w:tcW w:w="267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20</w:t>
            </w:r>
          </w:p>
        </w:tc>
        <w:tc>
          <w:tcPr>
            <w:tcW w:w="232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20</w:t>
            </w:r>
          </w:p>
        </w:tc>
        <w:tc>
          <w:tcPr>
            <w:tcW w:w="178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浮</w:t>
            </w:r>
          </w:p>
        </w:tc>
      </w:tr>
    </w:tbl>
    <w:p>
      <w:pPr>
        <w:keepLines w:val="0"/>
        <w:pageBreakBefore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sz w:val="28"/>
          <w:szCs w:val="28"/>
        </w:rPr>
      </w:pPr>
      <w:r>
        <w:rPr>
          <w:rFonts w:hint="eastAsia" w:ascii="仿宋" w:hAnsi="仿宋" w:eastAsia="仿宋" w:cs="仿宋"/>
          <w:b/>
          <w:sz w:val="28"/>
          <w:szCs w:val="28"/>
        </w:rPr>
        <w:t>表</w:t>
      </w:r>
      <w:r>
        <w:rPr>
          <w:rFonts w:hint="eastAsia" w:ascii="仿宋" w:hAnsi="仿宋" w:eastAsia="仿宋" w:cs="仿宋"/>
          <w:b/>
          <w:sz w:val="28"/>
          <w:szCs w:val="28"/>
          <w:lang w:val="en-US" w:eastAsia="zh-CN"/>
        </w:rPr>
        <w:t>6</w:t>
      </w:r>
      <w:r>
        <w:rPr>
          <w:rFonts w:hint="eastAsia" w:ascii="仿宋" w:hAnsi="仿宋" w:eastAsia="仿宋" w:cs="仿宋"/>
          <w:b/>
          <w:sz w:val="28"/>
          <w:szCs w:val="28"/>
        </w:rPr>
        <w:t>-15 合成吸油材料的应用技术</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227"/>
        <w:gridCol w:w="678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318" w:type="dxa"/>
            <w:tcBorders>
              <w:tl2br w:val="nil"/>
              <w:tr2bl w:val="nil"/>
            </w:tcBorders>
            <w:noWrap w:val="0"/>
            <w:vAlign w:val="center"/>
          </w:tcPr>
          <w:p>
            <w:pPr>
              <w:spacing w:line="240" w:lineRule="auto"/>
              <w:ind w:firstLine="39" w:firstLineChars="16"/>
              <w:jc w:val="center"/>
              <w:rPr>
                <w:rFonts w:hint="eastAsia" w:ascii="仿宋" w:hAnsi="仿宋" w:eastAsia="仿宋" w:cs="仿宋"/>
                <w:b/>
                <w:sz w:val="24"/>
                <w:szCs w:val="24"/>
              </w:rPr>
            </w:pPr>
            <w:r>
              <w:rPr>
                <w:rFonts w:hint="eastAsia" w:ascii="仿宋" w:hAnsi="仿宋" w:eastAsia="仿宋" w:cs="仿宋"/>
                <w:b/>
                <w:sz w:val="24"/>
                <w:szCs w:val="24"/>
              </w:rPr>
              <w:t>吸油材料形式</w:t>
            </w:r>
          </w:p>
        </w:tc>
        <w:tc>
          <w:tcPr>
            <w:tcW w:w="7076" w:type="dxa"/>
            <w:tcBorders>
              <w:tl2br w:val="nil"/>
              <w:tr2bl w:val="nil"/>
            </w:tcBorders>
            <w:noWrap w:val="0"/>
            <w:vAlign w:val="center"/>
          </w:tcPr>
          <w:p>
            <w:pPr>
              <w:spacing w:line="240" w:lineRule="auto"/>
              <w:ind w:firstLine="39" w:firstLineChars="16"/>
              <w:jc w:val="center"/>
              <w:rPr>
                <w:rFonts w:hint="eastAsia" w:ascii="仿宋" w:hAnsi="仿宋" w:eastAsia="仿宋" w:cs="仿宋"/>
                <w:b/>
                <w:sz w:val="24"/>
                <w:szCs w:val="24"/>
              </w:rPr>
            </w:pPr>
            <w:r>
              <w:rPr>
                <w:rFonts w:hint="eastAsia" w:ascii="仿宋" w:hAnsi="仿宋" w:eastAsia="仿宋" w:cs="仿宋"/>
                <w:b/>
                <w:sz w:val="24"/>
                <w:szCs w:val="24"/>
              </w:rPr>
              <w:t>技术应用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18"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1.方型和条型（片状）</w:t>
            </w:r>
          </w:p>
        </w:tc>
        <w:tc>
          <w:tcPr>
            <w:tcW w:w="7076"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用于吸附控制区域的少量溢油；</w:t>
            </w:r>
          </w:p>
          <w:p>
            <w:pPr>
              <w:spacing w:line="240" w:lineRule="auto"/>
              <w:rPr>
                <w:rFonts w:hint="eastAsia" w:ascii="仿宋" w:hAnsi="仿宋" w:eastAsia="仿宋" w:cs="仿宋"/>
                <w:sz w:val="24"/>
                <w:szCs w:val="24"/>
              </w:rPr>
            </w:pPr>
            <w:r>
              <w:rPr>
                <w:rFonts w:hint="eastAsia" w:ascii="仿宋" w:hAnsi="仿宋" w:eastAsia="仿宋" w:cs="仿宋"/>
                <w:sz w:val="24"/>
                <w:szCs w:val="24"/>
              </w:rPr>
              <w:t>为了充分吸附溢油需要将吸油材料在溢油中多停留一段时间。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18"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2.圆滚状</w:t>
            </w:r>
          </w:p>
        </w:tc>
        <w:tc>
          <w:tcPr>
            <w:tcW w:w="7076"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与方型和条型的使用方法相同，但操作更加容易，</w:t>
            </w:r>
          </w:p>
          <w:p>
            <w:pPr>
              <w:spacing w:line="240" w:lineRule="auto"/>
              <w:rPr>
                <w:rFonts w:hint="eastAsia" w:ascii="仿宋" w:hAnsi="仿宋" w:eastAsia="仿宋" w:cs="仿宋"/>
                <w:sz w:val="24"/>
                <w:szCs w:val="24"/>
              </w:rPr>
            </w:pPr>
            <w:r>
              <w:rPr>
                <w:rFonts w:hint="eastAsia" w:ascii="仿宋" w:hAnsi="仿宋" w:eastAsia="仿宋" w:cs="仿宋"/>
                <w:sz w:val="24"/>
                <w:szCs w:val="24"/>
              </w:rPr>
              <w:t>可以切割成任意长度的一段；</w:t>
            </w:r>
          </w:p>
          <w:p>
            <w:pPr>
              <w:spacing w:line="240" w:lineRule="auto"/>
              <w:rPr>
                <w:rFonts w:hint="eastAsia" w:ascii="仿宋" w:hAnsi="仿宋" w:eastAsia="仿宋" w:cs="仿宋"/>
                <w:sz w:val="24"/>
                <w:szCs w:val="24"/>
              </w:rPr>
            </w:pPr>
            <w:r>
              <w:rPr>
                <w:rFonts w:hint="eastAsia" w:ascii="仿宋" w:hAnsi="仿宋" w:eastAsia="仿宋" w:cs="仿宋"/>
                <w:sz w:val="24"/>
                <w:szCs w:val="24"/>
              </w:rPr>
              <w:t>使用其保护人行道路、船舶甲板、工作场所、围控</w:t>
            </w:r>
          </w:p>
          <w:p>
            <w:pPr>
              <w:spacing w:line="240" w:lineRule="auto"/>
              <w:rPr>
                <w:rFonts w:hint="eastAsia" w:ascii="仿宋" w:hAnsi="仿宋" w:eastAsia="仿宋" w:cs="仿宋"/>
                <w:sz w:val="24"/>
                <w:szCs w:val="24"/>
              </w:rPr>
            </w:pPr>
            <w:r>
              <w:rPr>
                <w:rFonts w:hint="eastAsia" w:ascii="仿宋" w:hAnsi="仿宋" w:eastAsia="仿宋" w:cs="仿宋"/>
                <w:sz w:val="24"/>
                <w:szCs w:val="24"/>
              </w:rPr>
              <w:t>临时储油场所等；</w:t>
            </w:r>
          </w:p>
          <w:p>
            <w:pPr>
              <w:spacing w:line="240" w:lineRule="auto"/>
              <w:rPr>
                <w:rFonts w:hint="eastAsia" w:ascii="仿宋" w:hAnsi="仿宋" w:eastAsia="仿宋" w:cs="仿宋"/>
                <w:sz w:val="24"/>
                <w:szCs w:val="24"/>
              </w:rPr>
            </w:pPr>
            <w:r>
              <w:rPr>
                <w:rFonts w:hint="eastAsia" w:ascii="仿宋" w:hAnsi="仿宋" w:eastAsia="仿宋" w:cs="仿宋"/>
                <w:sz w:val="24"/>
                <w:szCs w:val="24"/>
              </w:rPr>
              <w:t>布放和回收操作方便。</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18"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3.吸油栏</w:t>
            </w:r>
          </w:p>
        </w:tc>
        <w:tc>
          <w:tcPr>
            <w:tcW w:w="7076"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在平静水域起到吸油和围控溢油的双重作用；将吸油材料压缩装进网内，限制了溢油的穿透能力，要求吸油栏可以在溢油中滚动使用，也可以使用吸油栏向围油栏内驱赶溢油。可以用来保护遮蔽水域，还可以布放在围油栏的后面吸附逃逸的溢油：可以装在袋子里运输。</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18"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4.松散材料</w:t>
            </w:r>
          </w:p>
        </w:tc>
        <w:tc>
          <w:tcPr>
            <w:tcW w:w="7076"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在处理开阔水域溢油事故时，不建议使用这种材料。</w:t>
            </w:r>
          </w:p>
          <w:p>
            <w:pPr>
              <w:spacing w:line="240" w:lineRule="auto"/>
              <w:rPr>
                <w:rFonts w:hint="eastAsia" w:ascii="仿宋" w:hAnsi="仿宋" w:eastAsia="仿宋" w:cs="仿宋"/>
                <w:sz w:val="24"/>
                <w:szCs w:val="24"/>
              </w:rPr>
            </w:pPr>
            <w:r>
              <w:rPr>
                <w:rFonts w:hint="eastAsia" w:ascii="仿宋" w:hAnsi="仿宋" w:eastAsia="仿宋" w:cs="仿宋"/>
                <w:sz w:val="24"/>
                <w:szCs w:val="24"/>
              </w:rPr>
              <w:t>可以用来处理岸滩上或难以进入区域的溢油。</w:t>
            </w:r>
          </w:p>
        </w:tc>
      </w:tr>
    </w:tbl>
    <w:p>
      <w:pPr>
        <w:spacing w:line="360" w:lineRule="auto"/>
        <w:ind w:firstLine="560" w:firstLineChars="200"/>
        <w:jc w:val="both"/>
        <w:rPr>
          <w:rFonts w:hint="eastAsia" w:ascii="仿宋" w:hAnsi="仿宋" w:eastAsia="仿宋" w:cs="仿宋"/>
          <w:sz w:val="28"/>
          <w:szCs w:val="28"/>
          <w:lang w:val="en-US"/>
        </w:rPr>
      </w:pPr>
    </w:p>
    <w:p>
      <w:pPr>
        <w:pStyle w:val="27"/>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rPr>
          <w:rFonts w:hint="eastAsia" w:ascii="仿宋" w:hAnsi="仿宋" w:eastAsia="仿宋" w:cs="仿宋"/>
          <w:sz w:val="28"/>
          <w:szCs w:val="28"/>
        </w:rPr>
      </w:pPr>
      <w:r>
        <w:rPr>
          <w:rFonts w:hint="eastAsia" w:ascii="仿宋" w:hAnsi="仿宋" w:eastAsia="仿宋" w:cs="仿宋"/>
          <w:sz w:val="28"/>
          <w:szCs w:val="28"/>
          <w:lang w:val="en-US" w:eastAsia="zh-CN"/>
        </w:rPr>
        <w:t>6</w:t>
      </w:r>
      <w:r>
        <w:rPr>
          <w:rFonts w:hint="eastAsia" w:ascii="仿宋" w:hAnsi="仿宋" w:eastAsia="仿宋" w:cs="仿宋"/>
          <w:sz w:val="28"/>
          <w:szCs w:val="28"/>
        </w:rPr>
        <w:t>.2.</w:t>
      </w:r>
      <w:r>
        <w:rPr>
          <w:rFonts w:hint="eastAsia" w:ascii="仿宋" w:hAnsi="仿宋" w:eastAsia="仿宋" w:cs="仿宋"/>
          <w:sz w:val="28"/>
          <w:szCs w:val="28"/>
          <w:lang w:val="en-US" w:eastAsia="zh-CN"/>
        </w:rPr>
        <w:t>3</w:t>
      </w:r>
      <w:r>
        <w:rPr>
          <w:rFonts w:hint="eastAsia" w:ascii="仿宋" w:hAnsi="仿宋" w:eastAsia="仿宋" w:cs="仿宋"/>
          <w:sz w:val="28"/>
          <w:szCs w:val="28"/>
        </w:rPr>
        <w:t>.</w:t>
      </w:r>
      <w:r>
        <w:rPr>
          <w:rFonts w:hint="eastAsia" w:ascii="仿宋" w:hAnsi="仿宋" w:eastAsia="仿宋" w:cs="仿宋"/>
          <w:sz w:val="28"/>
          <w:szCs w:val="28"/>
          <w:lang w:val="en-US" w:eastAsia="zh-CN"/>
        </w:rPr>
        <w:t xml:space="preserve">4 </w:t>
      </w:r>
      <w:r>
        <w:rPr>
          <w:rFonts w:hint="eastAsia" w:ascii="仿宋" w:hAnsi="仿宋" w:eastAsia="仿宋" w:cs="仿宋"/>
          <w:sz w:val="28"/>
          <w:szCs w:val="28"/>
        </w:rPr>
        <w:t>吸油材料使用的注意事项</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（1）吸油材料在浸满的情况下必须能漂浮在水面数天或数周，否则无法回收。</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（2）如果回收较为困难，在使用吸油片之前，要经过政府有关部门批准。</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（3）通常选择使用吸油材料时应考虑吸附油后的废弃物处置计划。</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（4）使用时常采用人工作业方式，如果大量使用松散的吸油材料，则要借助于鼓风机。</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（5）力争回收所有的吸附油的吸油材料，以使单纯因溢油造成的后果不致更为严重。</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（6）在风大的海域单片吸油片因重量较轻，不能停留在油的表面，两片或三片重叠在一起效果可能更好。</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（7）如果油膜变得越来越薄，吸油材料的回收效率会越来越低，需要有围油栏将油围住以保持油膜厚度。</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（8）当决定使用吸油材料时，要确保回收处置设备能够使用，处理效果能够达到有关主管机关的规定。</w:t>
      </w:r>
    </w:p>
    <w:p>
      <w:pPr>
        <w:spacing w:line="360" w:lineRule="auto"/>
        <w:jc w:val="both"/>
        <w:rPr>
          <w:rFonts w:hint="eastAsia" w:ascii="仿宋" w:hAnsi="仿宋" w:eastAsia="仿宋" w:cs="仿宋"/>
          <w:sz w:val="28"/>
          <w:szCs w:val="28"/>
        </w:rPr>
      </w:pPr>
    </w:p>
    <w:p>
      <w:pPr>
        <w:spacing w:line="360" w:lineRule="auto"/>
        <w:ind w:firstLine="562" w:firstLineChars="200"/>
        <w:jc w:val="both"/>
        <w:outlineLvl w:val="0"/>
        <w:rPr>
          <w:rFonts w:hint="eastAsia" w:ascii="仿宋" w:hAnsi="仿宋" w:eastAsia="仿宋" w:cs="仿宋"/>
          <w:b/>
          <w:bCs/>
          <w:sz w:val="28"/>
          <w:szCs w:val="28"/>
        </w:rPr>
      </w:pPr>
      <w:bookmarkStart w:id="81" w:name="_Toc3775"/>
      <w:bookmarkStart w:id="82" w:name="_Toc24559"/>
      <w:bookmarkStart w:id="83" w:name="_Toc13339"/>
      <w:r>
        <w:rPr>
          <w:rFonts w:hint="eastAsia" w:ascii="仿宋" w:hAnsi="仿宋" w:eastAsia="仿宋" w:cs="仿宋"/>
          <w:b/>
          <w:bCs/>
          <w:sz w:val="28"/>
          <w:szCs w:val="28"/>
          <w:lang w:val="en-US" w:eastAsia="zh-CN"/>
        </w:rPr>
        <w:t>7、</w:t>
      </w:r>
      <w:r>
        <w:rPr>
          <w:rFonts w:hint="eastAsia" w:ascii="仿宋" w:hAnsi="仿宋" w:eastAsia="仿宋" w:cs="仿宋"/>
          <w:b/>
          <w:bCs/>
          <w:sz w:val="28"/>
          <w:szCs w:val="28"/>
        </w:rPr>
        <w:t>岸线清污方案</w:t>
      </w:r>
      <w:bookmarkEnd w:id="81"/>
      <w:bookmarkEnd w:id="82"/>
      <w:bookmarkEnd w:id="83"/>
    </w:p>
    <w:p>
      <w:pPr>
        <w:spacing w:line="360" w:lineRule="auto"/>
        <w:ind w:firstLine="562" w:firstLineChars="200"/>
        <w:jc w:val="both"/>
        <w:outlineLvl w:val="1"/>
        <w:rPr>
          <w:rFonts w:hint="eastAsia" w:ascii="仿宋" w:hAnsi="仿宋" w:eastAsia="仿宋" w:cs="仿宋"/>
          <w:b/>
          <w:bCs/>
          <w:sz w:val="28"/>
          <w:szCs w:val="28"/>
        </w:rPr>
      </w:pPr>
      <w:bookmarkStart w:id="84" w:name="_Toc6836"/>
      <w:bookmarkStart w:id="85" w:name="_Toc24119"/>
      <w:bookmarkStart w:id="86" w:name="_Toc15818"/>
      <w:r>
        <w:rPr>
          <w:rFonts w:hint="eastAsia" w:ascii="仿宋" w:hAnsi="仿宋" w:eastAsia="仿宋" w:cs="仿宋"/>
          <w:b/>
          <w:bCs/>
          <w:sz w:val="28"/>
          <w:szCs w:val="28"/>
          <w:lang w:val="en-US" w:eastAsia="zh-CN"/>
        </w:rPr>
        <w:t>7</w:t>
      </w:r>
      <w:r>
        <w:rPr>
          <w:rFonts w:hint="eastAsia" w:ascii="仿宋" w:hAnsi="仿宋" w:eastAsia="仿宋" w:cs="仿宋"/>
          <w:b/>
          <w:bCs/>
          <w:sz w:val="28"/>
          <w:szCs w:val="28"/>
        </w:rPr>
        <w:t>.</w:t>
      </w:r>
      <w:r>
        <w:rPr>
          <w:rFonts w:hint="eastAsia" w:ascii="仿宋" w:hAnsi="仿宋" w:eastAsia="仿宋" w:cs="仿宋"/>
          <w:b/>
          <w:bCs/>
          <w:sz w:val="28"/>
          <w:szCs w:val="28"/>
          <w:lang w:val="en-US" w:eastAsia="zh-CN"/>
        </w:rPr>
        <w:t xml:space="preserve">1 </w:t>
      </w:r>
      <w:r>
        <w:rPr>
          <w:rFonts w:hint="eastAsia" w:ascii="仿宋" w:hAnsi="仿宋" w:eastAsia="仿宋" w:cs="仿宋"/>
          <w:b/>
          <w:bCs/>
          <w:sz w:val="28"/>
          <w:szCs w:val="28"/>
        </w:rPr>
        <w:t>油在不同类型海岸线的状态及影响</w:t>
      </w:r>
      <w:bookmarkEnd w:id="84"/>
      <w:bookmarkEnd w:id="85"/>
      <w:bookmarkEnd w:id="86"/>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油在不同类型海岸线的状态见表</w:t>
      </w:r>
      <w:r>
        <w:rPr>
          <w:rFonts w:hint="eastAsia" w:ascii="仿宋" w:hAnsi="仿宋" w:eastAsia="仿宋" w:cs="仿宋"/>
          <w:sz w:val="28"/>
          <w:szCs w:val="28"/>
          <w:lang w:val="en-US" w:eastAsia="zh-CN"/>
        </w:rPr>
        <w:t>7</w:t>
      </w:r>
      <w:r>
        <w:rPr>
          <w:rFonts w:hint="eastAsia" w:ascii="仿宋" w:hAnsi="仿宋" w:eastAsia="仿宋" w:cs="仿宋"/>
          <w:sz w:val="28"/>
          <w:szCs w:val="28"/>
        </w:rPr>
        <w:t>-1。</w:t>
      </w:r>
    </w:p>
    <w:p>
      <w:pPr>
        <w:spacing w:line="240" w:lineRule="auto"/>
        <w:jc w:val="center"/>
        <w:rPr>
          <w:rFonts w:hint="eastAsia" w:ascii="仿宋" w:hAnsi="仿宋" w:eastAsia="仿宋" w:cs="仿宋"/>
          <w:b/>
          <w:bCs/>
          <w:sz w:val="28"/>
          <w:szCs w:val="28"/>
        </w:rPr>
      </w:pPr>
      <w:r>
        <w:rPr>
          <w:rFonts w:hint="eastAsia" w:ascii="仿宋" w:hAnsi="仿宋" w:eastAsia="仿宋" w:cs="仿宋"/>
          <w:b/>
          <w:bCs/>
          <w:sz w:val="28"/>
          <w:szCs w:val="28"/>
        </w:rPr>
        <w:t>表</w:t>
      </w:r>
      <w:r>
        <w:rPr>
          <w:rFonts w:hint="eastAsia" w:ascii="仿宋" w:hAnsi="仿宋" w:eastAsia="仿宋" w:cs="仿宋"/>
          <w:b/>
          <w:bCs/>
          <w:sz w:val="28"/>
          <w:szCs w:val="28"/>
          <w:lang w:val="en-US" w:eastAsia="zh-CN"/>
        </w:rPr>
        <w:t>7</w:t>
      </w:r>
      <w:r>
        <w:rPr>
          <w:rFonts w:hint="eastAsia" w:ascii="仿宋" w:hAnsi="仿宋" w:eastAsia="仿宋" w:cs="仿宋"/>
          <w:b/>
          <w:bCs/>
          <w:sz w:val="28"/>
          <w:szCs w:val="28"/>
        </w:rPr>
        <w:t>-1 油在不同类型海岸线的状态</w:t>
      </w:r>
    </w:p>
    <w:tbl>
      <w:tblPr>
        <w:tblStyle w:val="13"/>
        <w:tblW w:w="484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28"/>
        <w:gridCol w:w="1579"/>
        <w:gridCol w:w="609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328"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sz w:val="24"/>
                <w:szCs w:val="24"/>
              </w:rPr>
            </w:pPr>
            <w:r>
              <w:rPr>
                <w:rFonts w:hint="eastAsia" w:ascii="仿宋" w:hAnsi="仿宋" w:eastAsia="仿宋" w:cs="仿宋"/>
                <w:b/>
                <w:sz w:val="24"/>
                <w:szCs w:val="24"/>
              </w:rPr>
              <w:t>岸线类型</w:t>
            </w:r>
          </w:p>
        </w:tc>
        <w:tc>
          <w:tcPr>
            <w:tcW w:w="157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sz w:val="24"/>
                <w:szCs w:val="24"/>
              </w:rPr>
            </w:pPr>
            <w:r>
              <w:rPr>
                <w:rFonts w:hint="eastAsia" w:ascii="仿宋" w:hAnsi="仿宋" w:eastAsia="仿宋" w:cs="仿宋"/>
                <w:b/>
                <w:sz w:val="24"/>
                <w:szCs w:val="24"/>
              </w:rPr>
              <w:t>砂石粒度范围</w:t>
            </w:r>
          </w:p>
        </w:tc>
        <w:tc>
          <w:tcPr>
            <w:tcW w:w="609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b/>
                <w:sz w:val="24"/>
                <w:szCs w:val="24"/>
              </w:rPr>
            </w:pPr>
            <w:r>
              <w:rPr>
                <w:rFonts w:hint="eastAsia" w:ascii="仿宋" w:hAnsi="仿宋" w:eastAsia="仿宋" w:cs="仿宋"/>
                <w:b/>
                <w:sz w:val="24"/>
                <w:szCs w:val="24"/>
              </w:rPr>
              <w:t>说明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328"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岩石、砾石、人工结构物</w:t>
            </w:r>
          </w:p>
        </w:tc>
        <w:tc>
          <w:tcPr>
            <w:tcW w:w="157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&gt;250mm</w:t>
            </w:r>
          </w:p>
        </w:tc>
        <w:tc>
          <w:tcPr>
            <w:tcW w:w="609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textAlignment w:val="auto"/>
              <w:rPr>
                <w:rFonts w:hint="eastAsia" w:ascii="仿宋" w:hAnsi="仿宋" w:eastAsia="仿宋" w:cs="仿宋"/>
                <w:sz w:val="24"/>
                <w:szCs w:val="24"/>
              </w:rPr>
            </w:pPr>
            <w:r>
              <w:rPr>
                <w:rFonts w:hint="eastAsia" w:ascii="仿宋" w:hAnsi="仿宋" w:eastAsia="仿宋" w:cs="仿宋"/>
                <w:sz w:val="24"/>
                <w:szCs w:val="24"/>
              </w:rPr>
              <w:t>油往往被反射的波浪从露头的岩石和悬崖处冲走，但也可能被抛掷到粗糙或多孔的岩石表面聚集起来。在潮汐冲刷地区，油集于岩石潭中，也可能附在潮汐区岩石的表面。</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328"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鹅卵石、卵石、扁卵石</w:t>
            </w:r>
          </w:p>
        </w:tc>
        <w:tc>
          <w:tcPr>
            <w:tcW w:w="157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2～250mm</w:t>
            </w:r>
          </w:p>
        </w:tc>
        <w:tc>
          <w:tcPr>
            <w:tcW w:w="609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textAlignment w:val="auto"/>
              <w:rPr>
                <w:rFonts w:hint="eastAsia" w:ascii="仿宋" w:hAnsi="仿宋" w:eastAsia="仿宋" w:cs="仿宋"/>
                <w:sz w:val="24"/>
                <w:szCs w:val="24"/>
              </w:rPr>
            </w:pPr>
            <w:r>
              <w:rPr>
                <w:rFonts w:hint="eastAsia" w:ascii="仿宋" w:hAnsi="仿宋" w:eastAsia="仿宋" w:cs="仿宋"/>
                <w:sz w:val="24"/>
                <w:szCs w:val="24"/>
              </w:rPr>
              <w:t>油的渗透性随石块的尺度增大而增加。在强浪冲激区，岸面石块由于冲蚀会很快干净，而渗入沙石里的油会存留。低粘度油随自然界水的运动被冲出沙石。</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328"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沙</w:t>
            </w:r>
          </w:p>
        </w:tc>
        <w:tc>
          <w:tcPr>
            <w:tcW w:w="157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0.1～2mm</w:t>
            </w:r>
          </w:p>
        </w:tc>
        <w:tc>
          <w:tcPr>
            <w:tcW w:w="609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textAlignment w:val="auto"/>
              <w:rPr>
                <w:rFonts w:hint="eastAsia" w:ascii="仿宋" w:hAnsi="仿宋" w:eastAsia="仿宋" w:cs="仿宋"/>
                <w:sz w:val="24"/>
                <w:szCs w:val="24"/>
              </w:rPr>
            </w:pPr>
            <w:r>
              <w:rPr>
                <w:rFonts w:hint="eastAsia" w:ascii="仿宋" w:hAnsi="仿宋" w:eastAsia="仿宋" w:cs="仿宋"/>
                <w:sz w:val="24"/>
                <w:szCs w:val="24"/>
              </w:rPr>
              <w:t>油在沙滩上的渗透性取决于沙粒大小、地下水深度及排水性能。粗沙粒海滩往往是陡峭的斜坡，在低水位时枯干，使低粘度油的渗透程度显著。细粒沙滩由于潮水的周期作用总是湿而平坦，因此只会渗透少量的油。但在风暴期间，油可能被埋入沙滩。</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328"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泥地（泥滩、湿地）</w:t>
            </w:r>
          </w:p>
        </w:tc>
        <w:tc>
          <w:tcPr>
            <w:tcW w:w="157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jc w:val="center"/>
              <w:textAlignment w:val="auto"/>
              <w:rPr>
                <w:rFonts w:hint="eastAsia" w:ascii="仿宋" w:hAnsi="仿宋" w:eastAsia="仿宋" w:cs="仿宋"/>
                <w:sz w:val="24"/>
                <w:szCs w:val="24"/>
              </w:rPr>
            </w:pPr>
            <w:r>
              <w:rPr>
                <w:rFonts w:hint="eastAsia" w:ascii="仿宋" w:hAnsi="仿宋" w:eastAsia="仿宋" w:cs="仿宋"/>
                <w:sz w:val="24"/>
                <w:szCs w:val="24"/>
              </w:rPr>
              <w:t>&lt;0.1mm</w:t>
            </w:r>
          </w:p>
        </w:tc>
        <w:tc>
          <w:tcPr>
            <w:tcW w:w="6099" w:type="dxa"/>
            <w:tcBorders>
              <w:tl2br w:val="nil"/>
              <w:tr2bl w:val="nil"/>
            </w:tcBorders>
            <w:noWrap w:val="0"/>
            <w:vAlign w:val="center"/>
          </w:tcPr>
          <w:p>
            <w:pPr>
              <w:keepLines w:val="0"/>
              <w:pageBreakBefore w:val="0"/>
              <w:widowControl/>
              <w:kinsoku/>
              <w:wordWrap/>
              <w:overflowPunct/>
              <w:topLinePunct w:val="0"/>
              <w:autoSpaceDE/>
              <w:autoSpaceDN/>
              <w:bidi w:val="0"/>
              <w:adjustRightInd/>
              <w:snapToGrid/>
              <w:spacing w:line="240" w:lineRule="auto"/>
              <w:textAlignment w:val="auto"/>
              <w:rPr>
                <w:rFonts w:hint="eastAsia" w:ascii="仿宋" w:hAnsi="仿宋" w:eastAsia="仿宋" w:cs="仿宋"/>
                <w:sz w:val="24"/>
                <w:szCs w:val="24"/>
              </w:rPr>
            </w:pPr>
            <w:r>
              <w:rPr>
                <w:rFonts w:hint="eastAsia" w:ascii="仿宋" w:hAnsi="仿宋" w:eastAsia="仿宋" w:cs="仿宋"/>
                <w:sz w:val="24"/>
                <w:szCs w:val="24"/>
              </w:rPr>
              <w:t>泥地具有低能环境的特征，且被水浸泡，所以油很少渗入泥地而长期停留在泥地表面。如果溢油与风暴同时发生，则油能与沉积物相混并长期存在下去。泥地上动物的洞穴和植须的根须可能造成油的渗透。</w:t>
            </w:r>
          </w:p>
        </w:tc>
      </w:tr>
    </w:tbl>
    <w:p>
      <w:pPr>
        <w:rPr>
          <w:rFonts w:hint="eastAsia"/>
          <w:sz w:val="24"/>
          <w:szCs w:val="24"/>
        </w:rPr>
      </w:pPr>
    </w:p>
    <w:p>
      <w:pPr>
        <w:rPr>
          <w:rFonts w:hint="eastAsia"/>
          <w:sz w:val="24"/>
          <w:szCs w:val="24"/>
        </w:rPr>
      </w:pPr>
    </w:p>
    <w:p>
      <w:pPr>
        <w:spacing w:line="360" w:lineRule="auto"/>
        <w:ind w:firstLine="562" w:firstLineChars="200"/>
        <w:jc w:val="both"/>
        <w:outlineLvl w:val="1"/>
        <w:rPr>
          <w:rFonts w:hint="eastAsia" w:ascii="仿宋" w:hAnsi="仿宋" w:eastAsia="仿宋" w:cs="仿宋"/>
          <w:b/>
          <w:bCs/>
          <w:sz w:val="28"/>
          <w:szCs w:val="28"/>
        </w:rPr>
      </w:pPr>
      <w:bookmarkStart w:id="87" w:name="_Toc32172"/>
      <w:r>
        <w:rPr>
          <w:rFonts w:hint="eastAsia" w:ascii="仿宋" w:hAnsi="仿宋" w:eastAsia="仿宋" w:cs="仿宋"/>
          <w:b/>
          <w:bCs/>
          <w:sz w:val="28"/>
          <w:szCs w:val="28"/>
          <w:lang w:val="en-US" w:eastAsia="zh-CN"/>
        </w:rPr>
        <w:t>7</w:t>
      </w:r>
      <w:r>
        <w:rPr>
          <w:rFonts w:hint="eastAsia" w:ascii="仿宋" w:hAnsi="仿宋" w:eastAsia="仿宋" w:cs="仿宋"/>
          <w:b/>
          <w:bCs/>
          <w:sz w:val="28"/>
          <w:szCs w:val="28"/>
        </w:rPr>
        <w:t>.2</w:t>
      </w:r>
      <w:r>
        <w:rPr>
          <w:rFonts w:hint="eastAsia" w:ascii="仿宋" w:hAnsi="仿宋" w:eastAsia="仿宋" w:cs="仿宋"/>
          <w:b/>
          <w:bCs/>
          <w:sz w:val="28"/>
          <w:szCs w:val="28"/>
          <w:lang w:val="en-US" w:eastAsia="zh-CN"/>
        </w:rPr>
        <w:t xml:space="preserve"> </w:t>
      </w:r>
      <w:r>
        <w:rPr>
          <w:rFonts w:hint="eastAsia" w:ascii="仿宋" w:hAnsi="仿宋" w:eastAsia="仿宋" w:cs="仿宋"/>
          <w:b/>
          <w:bCs/>
          <w:sz w:val="28"/>
          <w:szCs w:val="28"/>
        </w:rPr>
        <w:t>岸线的物理清除方法</w:t>
      </w:r>
      <w:bookmarkEnd w:id="87"/>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7</w:t>
      </w:r>
      <w:r>
        <w:rPr>
          <w:rFonts w:hint="eastAsia" w:ascii="仿宋" w:hAnsi="仿宋" w:eastAsia="仿宋" w:cs="仿宋"/>
          <w:b/>
          <w:bCs/>
          <w:sz w:val="28"/>
          <w:szCs w:val="28"/>
        </w:rPr>
        <w:t>.2.1</w:t>
      </w:r>
      <w:r>
        <w:rPr>
          <w:rFonts w:hint="eastAsia" w:ascii="仿宋" w:hAnsi="仿宋" w:eastAsia="仿宋" w:cs="仿宋"/>
          <w:b/>
          <w:bCs/>
          <w:sz w:val="28"/>
          <w:szCs w:val="28"/>
          <w:lang w:val="en-US" w:eastAsia="zh-CN"/>
        </w:rPr>
        <w:t xml:space="preserve"> </w:t>
      </w:r>
      <w:r>
        <w:rPr>
          <w:rFonts w:hint="eastAsia" w:ascii="仿宋" w:hAnsi="仿宋" w:eastAsia="仿宋" w:cs="仿宋"/>
          <w:b/>
          <w:bCs/>
          <w:sz w:val="28"/>
          <w:szCs w:val="28"/>
        </w:rPr>
        <w:t>岸线溢油清除步骤</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岸线清除分三个阶段进行：清除大片溢油、清除沙滩溢油和最后清洁。</w:t>
      </w:r>
    </w:p>
    <w:p>
      <w:pPr>
        <w:keepLines w:val="0"/>
        <w:pageBreakBefore w:val="0"/>
        <w:widowControl/>
        <w:numPr>
          <w:ilvl w:val="0"/>
          <w:numId w:val="0"/>
        </w:numPr>
        <w:kinsoku/>
        <w:wordWrap/>
        <w:overflowPunct/>
        <w:topLinePunct w:val="0"/>
        <w:autoSpaceDE/>
        <w:autoSpaceDN/>
        <w:bidi w:val="0"/>
        <w:adjustRightInd/>
        <w:snapToGrid/>
        <w:spacing w:line="360" w:lineRule="auto"/>
        <w:ind w:left="566" w:leftChars="0" w:right="0" w:rightChars="0"/>
        <w:jc w:val="both"/>
        <w:textAlignment w:val="auto"/>
        <w:outlineLvl w:val="9"/>
        <w:rPr>
          <w:rFonts w:hint="eastAsia" w:ascii="仿宋" w:hAnsi="仿宋" w:eastAsia="仿宋" w:cs="仿宋"/>
          <w:b/>
          <w:sz w:val="28"/>
          <w:szCs w:val="28"/>
        </w:rPr>
      </w:pPr>
      <w:r>
        <w:rPr>
          <w:rFonts w:hint="eastAsia" w:ascii="仿宋" w:hAnsi="仿宋" w:eastAsia="仿宋" w:cs="仿宋"/>
          <w:b/>
          <w:sz w:val="28"/>
          <w:szCs w:val="28"/>
        </w:rPr>
        <w:t>●</w:t>
      </w:r>
      <w:r>
        <w:rPr>
          <w:rFonts w:hint="eastAsia" w:ascii="仿宋" w:hAnsi="仿宋" w:eastAsia="仿宋" w:cs="仿宋"/>
          <w:b/>
          <w:sz w:val="28"/>
          <w:szCs w:val="28"/>
          <w:lang w:val="en-US" w:eastAsia="zh-CN"/>
        </w:rPr>
        <w:t xml:space="preserve"> </w:t>
      </w:r>
      <w:r>
        <w:rPr>
          <w:rFonts w:hint="eastAsia" w:ascii="仿宋" w:hAnsi="仿宋" w:eastAsia="仿宋" w:cs="仿宋"/>
          <w:b/>
          <w:sz w:val="28"/>
          <w:szCs w:val="28"/>
        </w:rPr>
        <w:t>第一阶段：清除大片溢油</w:t>
      </w:r>
    </w:p>
    <w:p>
      <w:pPr>
        <w:keepLines w:val="0"/>
        <w:pageBreakBefore w:val="0"/>
        <w:widowControl/>
        <w:kinsoku/>
        <w:wordWrap/>
        <w:overflowPunct/>
        <w:topLinePunct w:val="0"/>
        <w:autoSpaceDE/>
        <w:autoSpaceDN/>
        <w:bidi w:val="0"/>
        <w:adjustRightInd/>
        <w:snapToGrid/>
        <w:spacing w:line="360" w:lineRule="auto"/>
        <w:ind w:firstLine="660" w:firstLineChars="236"/>
        <w:jc w:val="both"/>
        <w:textAlignment w:val="auto"/>
        <w:outlineLvl w:val="9"/>
        <w:rPr>
          <w:rFonts w:hint="eastAsia" w:ascii="仿宋" w:hAnsi="仿宋" w:eastAsia="仿宋" w:cs="仿宋"/>
          <w:sz w:val="28"/>
          <w:szCs w:val="28"/>
        </w:rPr>
      </w:pPr>
      <w:r>
        <w:rPr>
          <w:rFonts w:hint="eastAsia" w:ascii="仿宋" w:hAnsi="仿宋" w:eastAsia="仿宋" w:cs="仿宋"/>
          <w:sz w:val="28"/>
          <w:szCs w:val="28"/>
        </w:rPr>
        <w:t>回收岸线水边的漂浮溢油和清除岸线上厚的油层。清除作业需要使用收油机、泵、铁锹和桶等机械设备和工具。</w:t>
      </w:r>
    </w:p>
    <w:p>
      <w:pPr>
        <w:keepLines w:val="0"/>
        <w:pageBreakBefore w:val="0"/>
        <w:widowControl/>
        <w:numPr>
          <w:ilvl w:val="0"/>
          <w:numId w:val="0"/>
        </w:numPr>
        <w:kinsoku/>
        <w:wordWrap/>
        <w:overflowPunct/>
        <w:topLinePunct w:val="0"/>
        <w:autoSpaceDE/>
        <w:autoSpaceDN/>
        <w:bidi w:val="0"/>
        <w:adjustRightInd/>
        <w:snapToGrid/>
        <w:spacing w:line="360" w:lineRule="auto"/>
        <w:ind w:left="566" w:leftChars="0" w:right="0" w:rightChars="0"/>
        <w:jc w:val="both"/>
        <w:textAlignment w:val="auto"/>
        <w:outlineLvl w:val="9"/>
        <w:rPr>
          <w:rFonts w:hint="eastAsia" w:ascii="仿宋" w:hAnsi="仿宋" w:eastAsia="仿宋" w:cs="仿宋"/>
          <w:b/>
          <w:sz w:val="28"/>
          <w:szCs w:val="28"/>
        </w:rPr>
      </w:pPr>
      <w:r>
        <w:rPr>
          <w:rFonts w:hint="eastAsia" w:ascii="仿宋" w:hAnsi="仿宋" w:eastAsia="仿宋" w:cs="仿宋"/>
          <w:b/>
          <w:sz w:val="28"/>
          <w:szCs w:val="28"/>
        </w:rPr>
        <w:t>●</w:t>
      </w:r>
      <w:r>
        <w:rPr>
          <w:rFonts w:hint="eastAsia" w:ascii="仿宋" w:hAnsi="仿宋" w:eastAsia="仿宋" w:cs="仿宋"/>
          <w:b/>
          <w:sz w:val="28"/>
          <w:szCs w:val="28"/>
          <w:lang w:val="en-US" w:eastAsia="zh-CN"/>
        </w:rPr>
        <w:t xml:space="preserve"> </w:t>
      </w:r>
      <w:r>
        <w:rPr>
          <w:rFonts w:hint="eastAsia" w:ascii="仿宋" w:hAnsi="仿宋" w:eastAsia="仿宋" w:cs="仿宋"/>
          <w:b/>
          <w:sz w:val="28"/>
          <w:szCs w:val="28"/>
        </w:rPr>
        <w:t>第二阶段：清除滩涂溢油</w:t>
      </w:r>
    </w:p>
    <w:p>
      <w:pPr>
        <w:keepLines w:val="0"/>
        <w:pageBreakBefore w:val="0"/>
        <w:widowControl/>
        <w:kinsoku/>
        <w:wordWrap/>
        <w:overflowPunct/>
        <w:topLinePunct w:val="0"/>
        <w:autoSpaceDE/>
        <w:autoSpaceDN/>
        <w:bidi w:val="0"/>
        <w:adjustRightInd/>
        <w:snapToGrid/>
        <w:spacing w:line="360" w:lineRule="auto"/>
        <w:ind w:firstLine="660" w:firstLineChars="236"/>
        <w:jc w:val="both"/>
        <w:textAlignment w:val="auto"/>
        <w:outlineLvl w:val="9"/>
        <w:rPr>
          <w:rFonts w:hint="eastAsia" w:ascii="仿宋" w:hAnsi="仿宋" w:eastAsia="仿宋" w:cs="仿宋"/>
          <w:sz w:val="28"/>
          <w:szCs w:val="28"/>
        </w:rPr>
      </w:pPr>
      <w:r>
        <w:rPr>
          <w:rFonts w:hint="eastAsia" w:ascii="仿宋" w:hAnsi="仿宋" w:eastAsia="仿宋" w:cs="仿宋"/>
          <w:sz w:val="28"/>
          <w:szCs w:val="28"/>
        </w:rPr>
        <w:t>清除渗入沙滩的溢油和被溢油污染的沙滩。如果溢油量很少或溢油在岸线上已有一段时间并且已经渗透到沙滩上层，清除操作经常从这时开始，需要投入收油机、泵、真空罐车和桶等设备。</w:t>
      </w:r>
    </w:p>
    <w:p>
      <w:pPr>
        <w:keepLines w:val="0"/>
        <w:pageBreakBefore w:val="0"/>
        <w:widowControl/>
        <w:numPr>
          <w:ilvl w:val="0"/>
          <w:numId w:val="0"/>
        </w:numPr>
        <w:kinsoku/>
        <w:wordWrap/>
        <w:overflowPunct/>
        <w:topLinePunct w:val="0"/>
        <w:autoSpaceDE/>
        <w:autoSpaceDN/>
        <w:bidi w:val="0"/>
        <w:adjustRightInd/>
        <w:snapToGrid/>
        <w:spacing w:line="360" w:lineRule="auto"/>
        <w:ind w:left="566" w:leftChars="0" w:right="0" w:rightChars="0"/>
        <w:jc w:val="both"/>
        <w:textAlignment w:val="auto"/>
        <w:outlineLvl w:val="9"/>
        <w:rPr>
          <w:rFonts w:hint="eastAsia" w:ascii="仿宋" w:hAnsi="仿宋" w:eastAsia="仿宋" w:cs="仿宋"/>
          <w:b/>
          <w:sz w:val="28"/>
          <w:szCs w:val="28"/>
        </w:rPr>
      </w:pPr>
      <w:r>
        <w:rPr>
          <w:rFonts w:hint="eastAsia" w:ascii="仿宋" w:hAnsi="仿宋" w:eastAsia="仿宋" w:cs="仿宋"/>
          <w:b/>
          <w:sz w:val="28"/>
          <w:szCs w:val="28"/>
        </w:rPr>
        <w:t>●</w:t>
      </w:r>
      <w:r>
        <w:rPr>
          <w:rFonts w:hint="eastAsia" w:ascii="仿宋" w:hAnsi="仿宋" w:eastAsia="仿宋" w:cs="仿宋"/>
          <w:b/>
          <w:sz w:val="28"/>
          <w:szCs w:val="28"/>
          <w:lang w:val="en-US" w:eastAsia="zh-CN"/>
        </w:rPr>
        <w:t xml:space="preserve"> </w:t>
      </w:r>
      <w:r>
        <w:rPr>
          <w:rFonts w:hint="eastAsia" w:ascii="仿宋" w:hAnsi="仿宋" w:eastAsia="仿宋" w:cs="仿宋"/>
          <w:b/>
          <w:sz w:val="28"/>
          <w:szCs w:val="28"/>
        </w:rPr>
        <w:t>第三阶段：最后清洁</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将残存的各种油污比较彻底地清除掉，这一阶段的作业需要使用吸油材料，如果海事管理机构许可，也可使用分散剂。</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7</w:t>
      </w:r>
      <w:r>
        <w:rPr>
          <w:rFonts w:hint="eastAsia" w:ascii="仿宋" w:hAnsi="仿宋" w:eastAsia="仿宋" w:cs="仿宋"/>
          <w:b/>
          <w:bCs/>
          <w:sz w:val="28"/>
          <w:szCs w:val="28"/>
        </w:rPr>
        <w:t>.2.2</w:t>
      </w:r>
      <w:r>
        <w:rPr>
          <w:rFonts w:hint="eastAsia" w:ascii="仿宋" w:hAnsi="仿宋" w:eastAsia="仿宋" w:cs="仿宋"/>
          <w:b/>
          <w:bCs/>
          <w:sz w:val="28"/>
          <w:szCs w:val="28"/>
          <w:lang w:val="en-US" w:eastAsia="zh-CN"/>
        </w:rPr>
        <w:t xml:space="preserve"> </w:t>
      </w:r>
      <w:r>
        <w:rPr>
          <w:rFonts w:hint="eastAsia" w:ascii="仿宋" w:hAnsi="仿宋" w:eastAsia="仿宋" w:cs="仿宋"/>
          <w:b/>
          <w:bCs/>
          <w:sz w:val="28"/>
          <w:szCs w:val="28"/>
        </w:rPr>
        <w:t>清除技术方案</w:t>
      </w:r>
    </w:p>
    <w:p>
      <w:pPr>
        <w:keepLines w:val="0"/>
        <w:pageBreakBefore w:val="0"/>
        <w:widowControl/>
        <w:kinsoku/>
        <w:wordWrap/>
        <w:overflowPunct/>
        <w:topLinePunct w:val="0"/>
        <w:autoSpaceDE/>
        <w:autoSpaceDN/>
        <w:bidi w:val="0"/>
        <w:adjustRightInd/>
        <w:snapToGrid/>
        <w:spacing w:line="360" w:lineRule="auto"/>
        <w:ind w:firstLine="660" w:firstLineChars="236"/>
        <w:jc w:val="both"/>
        <w:textAlignment w:val="auto"/>
        <w:rPr>
          <w:rFonts w:hint="eastAsia" w:ascii="仿宋" w:hAnsi="仿宋" w:eastAsia="仿宋" w:cs="仿宋"/>
          <w:sz w:val="28"/>
          <w:szCs w:val="28"/>
        </w:rPr>
      </w:pPr>
      <w:r>
        <w:rPr>
          <w:rFonts w:hint="eastAsia" w:ascii="仿宋" w:hAnsi="仿宋" w:eastAsia="仿宋" w:cs="仿宋"/>
          <w:sz w:val="28"/>
          <w:szCs w:val="28"/>
        </w:rPr>
        <w:t>岸线溢油的清除主要使用泵、机械设备、人工回收或岸线清洁机等特殊设备，有时也可让它自然恢复。</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（1）人工使用铲、镐、筐和塑料袋清除溢油，适用于任何类型的岸线，特别适用于敏感性高的岸线和机械设备不能进入的岸线。虽然这种清除方式效率低，但清洁后的岸线资源恢复快。</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（2）冲刷污染岸线的表面。这种措施适用于清洁污染轻微的大圆石、鹅卵石、沙砾、码头岸壁等类型的岸线。</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3）自然恢复，适用于敏感程度比较高和进入非常困难的岸线或偏远地区岸线。有时进行岸线清除会造成比不清除更大的损害。若这些岸线经常暴露在汹涌的波浪中，自然清洁则更加快速有效。对采取自然恢复的岸线应进行定期监视监测，确定自然恢复程度。</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lang w:eastAsia="zh-CN"/>
        </w:rPr>
      </w:pPr>
      <w:r>
        <w:rPr>
          <w:rFonts w:hint="eastAsia" w:ascii="仿宋" w:hAnsi="仿宋" w:eastAsia="仿宋" w:cs="仿宋"/>
          <w:sz w:val="28"/>
          <w:szCs w:val="28"/>
        </w:rPr>
        <w:t>（4）使用清洗装置</w:t>
      </w:r>
      <w:r>
        <w:rPr>
          <w:rFonts w:hint="eastAsia" w:ascii="仿宋" w:hAnsi="仿宋" w:eastAsia="仿宋" w:cs="仿宋"/>
          <w:sz w:val="28"/>
          <w:szCs w:val="28"/>
          <w:lang w:eastAsia="zh-CN"/>
        </w:rPr>
        <w:t>。</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①</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使用低压清洁装置清洁岸线溢油。低压清洁装置是用周围水源来冲洗岸线油污，这种装置适用于清洁高敏感性的岸线，并用围油栏和收油机配合作业。操作时应先从污染严重的区域开始，最后清洁到水边。</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②</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使用高压热水清洁装置清洁岸线溢油。高压热水清洁装置是用来从坚硬表面上清洗风化的溢油的装置。使用该装置时，应提供足够的淡水，不能使用海水。清洁作业时应自上而下进行，并配合围油栏和收油机一起工作。这种清洁方法容易损害海洋表面的微生物。</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（5）喷洒分散剂清除岸线表面余油。在岸线上使用分散剂需要得到许可，喷洒后应用海水冲洗或等待潮汐的冲刷。</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（6）使用吸附材料吸附被冲入水边的溢油，以避免进一步污染岸线。</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（7）犁耙岸滩。这种技术适用于轻微污染的、没有旅游娱乐价值的岸线，将沙砾犁耙起来以充分通风，加快溢油风化。</w:t>
      </w:r>
    </w:p>
    <w:p>
      <w:pPr>
        <w:spacing w:line="360" w:lineRule="auto"/>
        <w:ind w:firstLine="560" w:firstLineChars="200"/>
        <w:jc w:val="both"/>
        <w:rPr>
          <w:rFonts w:hint="eastAsia" w:ascii="仿宋" w:hAnsi="仿宋" w:eastAsia="仿宋" w:cs="仿宋"/>
          <w:sz w:val="28"/>
          <w:szCs w:val="28"/>
          <w:lang w:eastAsia="zh-CN"/>
        </w:rPr>
      </w:pPr>
      <w:bookmarkStart w:id="88" w:name="_Toc3821"/>
      <w:r>
        <w:rPr>
          <w:rFonts w:hint="eastAsia" w:ascii="仿宋" w:hAnsi="仿宋" w:eastAsia="仿宋" w:cs="仿宋"/>
          <w:sz w:val="28"/>
          <w:szCs w:val="28"/>
        </w:rPr>
        <w:t>岸线清除是伴随着开阔水域发生溢油的处理一起进行的，不属于应急反应，这种作业可能持续几周时间或更长。清除作业时可能会发生意外情况，例如有大量迁徙的动物到来，或旅游季节即将开始，或正处于旅游旺季</w:t>
      </w:r>
      <w:r>
        <w:rPr>
          <w:rFonts w:hint="eastAsia" w:ascii="仿宋" w:hAnsi="仿宋" w:eastAsia="仿宋" w:cs="仿宋"/>
          <w:sz w:val="28"/>
          <w:szCs w:val="28"/>
          <w:lang w:eastAsia="zh-CN"/>
        </w:rPr>
        <w:t>。</w:t>
      </w:r>
    </w:p>
    <w:p>
      <w:pPr>
        <w:pStyle w:val="26"/>
        <w:keepLines w:val="0"/>
        <w:pageBreakBefore w:val="0"/>
        <w:widowControl/>
        <w:kinsoku/>
        <w:wordWrap/>
        <w:overflowPunct/>
        <w:topLinePunct w:val="0"/>
        <w:autoSpaceDE/>
        <w:autoSpaceDN/>
        <w:bidi w:val="0"/>
        <w:adjustRightInd/>
        <w:snapToGrid/>
        <w:spacing w:before="0" w:after="0" w:line="360" w:lineRule="auto"/>
        <w:ind w:firstLine="562" w:firstLineChars="200"/>
        <w:jc w:val="both"/>
        <w:textAlignment w:val="auto"/>
        <w:outlineLvl w:val="2"/>
        <w:rPr>
          <w:rFonts w:hint="eastAsia" w:ascii="仿宋" w:hAnsi="仿宋" w:eastAsia="仿宋" w:cs="仿宋"/>
          <w:b/>
          <w:bCs/>
          <w:sz w:val="28"/>
          <w:szCs w:val="28"/>
        </w:rPr>
      </w:pPr>
      <w:r>
        <w:rPr>
          <w:rFonts w:hint="eastAsia" w:ascii="仿宋" w:hAnsi="仿宋" w:eastAsia="仿宋" w:cs="仿宋"/>
          <w:b/>
          <w:bCs/>
          <w:sz w:val="28"/>
          <w:szCs w:val="28"/>
          <w:lang w:val="en-US" w:eastAsia="zh-CN"/>
        </w:rPr>
        <w:t>7</w:t>
      </w:r>
      <w:r>
        <w:rPr>
          <w:rFonts w:hint="eastAsia" w:ascii="仿宋" w:hAnsi="仿宋" w:eastAsia="仿宋" w:cs="仿宋"/>
          <w:b/>
          <w:bCs/>
          <w:sz w:val="28"/>
          <w:szCs w:val="28"/>
        </w:rPr>
        <w:t>.2.3岸线清除作业影响因素</w:t>
      </w:r>
      <w:bookmarkEnd w:id="88"/>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在决定岸线清除作业或选择清除技术时，应考虑溢油量、溢油特性（如毒性和粘度）、现场条件（气象、季节、潮汐、温度）、岸线类型（悬崖、小鹅卵石、沙、沼泽）及应考虑的其他特殊因素。</w:t>
      </w:r>
    </w:p>
    <w:p>
      <w:pPr>
        <w:keepLines w:val="0"/>
        <w:pageBreakBefore w:val="0"/>
        <w:widowControl/>
        <w:kinsoku/>
        <w:wordWrap/>
        <w:overflowPunct/>
        <w:topLinePunct w:val="0"/>
        <w:autoSpaceDE/>
        <w:autoSpaceDN/>
        <w:bidi w:val="0"/>
        <w:adjustRightInd/>
        <w:snapToGrid/>
        <w:spacing w:line="360" w:lineRule="auto"/>
        <w:ind w:firstLine="663" w:firstLineChars="236"/>
        <w:jc w:val="both"/>
        <w:textAlignment w:val="auto"/>
        <w:rPr>
          <w:rFonts w:hint="eastAsia" w:ascii="仿宋" w:hAnsi="仿宋" w:eastAsia="仿宋" w:cs="仿宋"/>
          <w:b/>
          <w:sz w:val="28"/>
          <w:szCs w:val="28"/>
        </w:rPr>
      </w:pPr>
      <w:r>
        <w:rPr>
          <w:rFonts w:hint="eastAsia" w:ascii="仿宋" w:hAnsi="仿宋" w:eastAsia="仿宋" w:cs="仿宋"/>
          <w:b/>
          <w:sz w:val="28"/>
          <w:szCs w:val="28"/>
        </w:rPr>
        <w:t>（1）油的特性</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在岸线清洁作业前，一定要对溢油进行取样分析，来确定溢油是否具有毒性，可以用来判定：</w:t>
      </w:r>
    </w:p>
    <w:p>
      <w:pPr>
        <w:keepLines w:val="0"/>
        <w:pageBreakBefore w:val="0"/>
        <w:widowControl/>
        <w:kinsoku/>
        <w:wordWrap/>
        <w:overflowPunct/>
        <w:topLinePunct w:val="0"/>
        <w:autoSpaceDE/>
        <w:autoSpaceDN/>
        <w:bidi w:val="0"/>
        <w:adjustRightInd/>
        <w:snapToGrid/>
        <w:spacing w:line="360" w:lineRule="auto"/>
        <w:ind w:firstLine="658" w:firstLineChars="235"/>
        <w:jc w:val="both"/>
        <w:textAlignment w:val="auto"/>
        <w:rPr>
          <w:rFonts w:hint="eastAsia" w:ascii="仿宋" w:hAnsi="仿宋" w:eastAsia="仿宋" w:cs="仿宋"/>
          <w:sz w:val="28"/>
          <w:szCs w:val="28"/>
        </w:rPr>
      </w:pPr>
      <w:r>
        <w:rPr>
          <w:rFonts w:hint="eastAsia" w:ascii="仿宋" w:hAnsi="仿宋" w:eastAsia="仿宋" w:cs="仿宋"/>
          <w:sz w:val="28"/>
          <w:szCs w:val="28"/>
        </w:rPr>
        <w:t>①</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岸线生物及环境受到损害的级别；</w:t>
      </w:r>
    </w:p>
    <w:p>
      <w:pPr>
        <w:keepLines w:val="0"/>
        <w:pageBreakBefore w:val="0"/>
        <w:widowControl/>
        <w:kinsoku/>
        <w:wordWrap/>
        <w:overflowPunct/>
        <w:topLinePunct w:val="0"/>
        <w:autoSpaceDE/>
        <w:autoSpaceDN/>
        <w:bidi w:val="0"/>
        <w:adjustRightInd/>
        <w:snapToGrid/>
        <w:spacing w:line="360" w:lineRule="auto"/>
        <w:ind w:firstLine="658" w:firstLineChars="235"/>
        <w:jc w:val="both"/>
        <w:textAlignment w:val="auto"/>
        <w:rPr>
          <w:rFonts w:hint="eastAsia" w:ascii="仿宋" w:hAnsi="仿宋" w:eastAsia="仿宋" w:cs="仿宋"/>
          <w:sz w:val="28"/>
          <w:szCs w:val="28"/>
        </w:rPr>
      </w:pPr>
      <w:r>
        <w:rPr>
          <w:rFonts w:hint="eastAsia" w:ascii="仿宋" w:hAnsi="仿宋" w:eastAsia="仿宋" w:cs="仿宋"/>
          <w:sz w:val="28"/>
          <w:szCs w:val="28"/>
        </w:rPr>
        <w:t>②</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清污人员可能遇到的危险；</w:t>
      </w:r>
    </w:p>
    <w:p>
      <w:pPr>
        <w:keepLines w:val="0"/>
        <w:pageBreakBefore w:val="0"/>
        <w:widowControl/>
        <w:kinsoku/>
        <w:wordWrap/>
        <w:overflowPunct/>
        <w:topLinePunct w:val="0"/>
        <w:autoSpaceDE/>
        <w:autoSpaceDN/>
        <w:bidi w:val="0"/>
        <w:adjustRightInd/>
        <w:snapToGrid/>
        <w:spacing w:line="360" w:lineRule="auto"/>
        <w:ind w:firstLine="658" w:firstLineChars="235"/>
        <w:jc w:val="both"/>
        <w:textAlignment w:val="auto"/>
        <w:rPr>
          <w:rFonts w:hint="eastAsia" w:ascii="仿宋" w:hAnsi="仿宋" w:eastAsia="仿宋" w:cs="仿宋"/>
          <w:sz w:val="28"/>
          <w:szCs w:val="28"/>
        </w:rPr>
      </w:pPr>
      <w:r>
        <w:rPr>
          <w:rFonts w:hint="eastAsia" w:ascii="仿宋" w:hAnsi="仿宋" w:eastAsia="仿宋" w:cs="仿宋"/>
          <w:sz w:val="28"/>
          <w:szCs w:val="28"/>
        </w:rPr>
        <w:t>③</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溢油在岸线上的状态；</w:t>
      </w:r>
    </w:p>
    <w:p>
      <w:pPr>
        <w:keepLines w:val="0"/>
        <w:pageBreakBefore w:val="0"/>
        <w:widowControl/>
        <w:kinsoku/>
        <w:wordWrap/>
        <w:overflowPunct/>
        <w:topLinePunct w:val="0"/>
        <w:autoSpaceDE/>
        <w:autoSpaceDN/>
        <w:bidi w:val="0"/>
        <w:adjustRightInd/>
        <w:snapToGrid/>
        <w:spacing w:line="360" w:lineRule="auto"/>
        <w:ind w:firstLine="658" w:firstLineChars="235"/>
        <w:jc w:val="both"/>
        <w:textAlignment w:val="auto"/>
        <w:rPr>
          <w:rFonts w:hint="eastAsia" w:ascii="仿宋" w:hAnsi="仿宋" w:eastAsia="仿宋" w:cs="仿宋"/>
          <w:sz w:val="28"/>
          <w:szCs w:val="28"/>
        </w:rPr>
      </w:pPr>
      <w:r>
        <w:rPr>
          <w:rFonts w:hint="eastAsia" w:ascii="仿宋" w:hAnsi="仿宋" w:eastAsia="仿宋" w:cs="仿宋"/>
          <w:sz w:val="28"/>
          <w:szCs w:val="28"/>
        </w:rPr>
        <w:t>④</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为确定岸线清洁措施提供溢油的基础信息。</w:t>
      </w:r>
    </w:p>
    <w:p>
      <w:pPr>
        <w:spacing w:line="360" w:lineRule="auto"/>
        <w:ind w:firstLine="562" w:firstLineChars="200"/>
        <w:jc w:val="both"/>
        <w:rPr>
          <w:rFonts w:hint="eastAsia" w:ascii="仿宋" w:hAnsi="仿宋" w:eastAsia="仿宋" w:cs="仿宋"/>
          <w:b/>
          <w:bCs/>
          <w:sz w:val="28"/>
          <w:szCs w:val="28"/>
          <w:lang w:val="en-US" w:eastAsia="zh-CN"/>
        </w:rPr>
      </w:pPr>
      <w:r>
        <w:rPr>
          <w:rFonts w:hint="eastAsia" w:ascii="仿宋" w:hAnsi="仿宋" w:eastAsia="仿宋" w:cs="仿宋"/>
          <w:b/>
          <w:bCs/>
          <w:sz w:val="28"/>
          <w:szCs w:val="28"/>
        </w:rPr>
        <w:t>（2）现场情况</w:t>
      </w:r>
    </w:p>
    <w:p>
      <w:pPr>
        <w:spacing w:line="360" w:lineRule="auto"/>
        <w:jc w:val="both"/>
        <w:rPr>
          <w:rFonts w:hint="eastAsia" w:ascii="仿宋" w:hAnsi="仿宋" w:eastAsia="仿宋" w:cs="仿宋"/>
          <w:sz w:val="28"/>
          <w:szCs w:val="28"/>
          <w:lang w:val="en-US" w:eastAsia="zh-CN"/>
        </w:rPr>
        <w:sectPr>
          <w:pgSz w:w="11906" w:h="16838"/>
          <w:pgMar w:top="1247" w:right="1418" w:bottom="1247" w:left="1418" w:header="964" w:footer="851" w:gutter="0"/>
          <w:pgBorders w:offsetFrom="page">
            <w:top w:val="none" w:sz="0" w:space="0"/>
            <w:left w:val="none" w:sz="0" w:space="0"/>
            <w:bottom w:val="none" w:sz="0" w:space="0"/>
            <w:right w:val="none" w:sz="0" w:space="0"/>
          </w:pgBorders>
          <w:pgNumType w:fmt="decimal" w:start="1"/>
          <w:cols w:space="720" w:num="1"/>
          <w:titlePg/>
          <w:docGrid w:linePitch="312" w:charSpace="0"/>
        </w:sectPr>
      </w:pP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主要应掌握现场的风、流、波浪、气温等情况。这些因素影响着溢油的漂移，溢油的漂移又影响清除设备的应用。另外，还要掌握当时的高潮、低潮时间和潮位，以便制定有效的初始计划。</w:t>
      </w:r>
    </w:p>
    <w:p>
      <w:pPr>
        <w:keepLines w:val="0"/>
        <w:pageBreakBefore w:val="0"/>
        <w:widowControl/>
        <w:kinsoku/>
        <w:wordWrap/>
        <w:overflowPunct/>
        <w:topLinePunct w:val="0"/>
        <w:autoSpaceDE/>
        <w:autoSpaceDN/>
        <w:bidi w:val="0"/>
        <w:adjustRightInd/>
        <w:snapToGrid/>
        <w:spacing w:line="360" w:lineRule="auto"/>
        <w:ind w:firstLine="663" w:firstLineChars="236"/>
        <w:jc w:val="both"/>
        <w:textAlignment w:val="auto"/>
        <w:rPr>
          <w:rFonts w:hint="eastAsia" w:ascii="仿宋" w:hAnsi="仿宋" w:eastAsia="仿宋" w:cs="仿宋"/>
          <w:b/>
          <w:sz w:val="28"/>
          <w:szCs w:val="28"/>
        </w:rPr>
      </w:pPr>
      <w:r>
        <w:rPr>
          <w:rFonts w:hint="eastAsia" w:ascii="仿宋" w:hAnsi="仿宋" w:eastAsia="仿宋" w:cs="仿宋"/>
          <w:b/>
          <w:sz w:val="28"/>
          <w:szCs w:val="28"/>
        </w:rPr>
        <w:t>（3）岸线类型</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不同类型的岸线所适用的清除技术不同。</w:t>
      </w:r>
    </w:p>
    <w:p>
      <w:pPr>
        <w:keepLines w:val="0"/>
        <w:pageBreakBefore w:val="0"/>
        <w:widowControl/>
        <w:kinsoku/>
        <w:wordWrap/>
        <w:overflowPunct/>
        <w:topLinePunct w:val="0"/>
        <w:autoSpaceDE/>
        <w:autoSpaceDN/>
        <w:bidi w:val="0"/>
        <w:adjustRightInd/>
        <w:snapToGrid/>
        <w:spacing w:line="360" w:lineRule="auto"/>
        <w:ind w:firstLine="663" w:firstLineChars="236"/>
        <w:jc w:val="both"/>
        <w:textAlignment w:val="auto"/>
        <w:rPr>
          <w:rFonts w:hint="eastAsia" w:ascii="仿宋" w:hAnsi="仿宋" w:eastAsia="仿宋" w:cs="仿宋"/>
          <w:b/>
          <w:sz w:val="28"/>
          <w:szCs w:val="28"/>
        </w:rPr>
      </w:pPr>
      <w:r>
        <w:rPr>
          <w:rFonts w:hint="eastAsia" w:ascii="仿宋" w:hAnsi="仿宋" w:eastAsia="仿宋" w:cs="仿宋"/>
          <w:b/>
          <w:sz w:val="28"/>
          <w:szCs w:val="28"/>
        </w:rPr>
        <w:t>（4）特殊考虑</w:t>
      </w:r>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1F497D"/>
          <w:sz w:val="28"/>
          <w:szCs w:val="28"/>
        </w:rPr>
      </w:pPr>
      <w:r>
        <w:rPr>
          <w:rFonts w:hint="eastAsia" w:ascii="仿宋" w:hAnsi="仿宋" w:eastAsia="仿宋" w:cs="仿宋"/>
          <w:sz w:val="28"/>
          <w:szCs w:val="28"/>
        </w:rPr>
        <w:t>有些岸线对溢油的敏感程度有季节性，这直接影响到是否采取岸线清除作业。在特定的时间内野生动物会在该区域觅食或在该区域筑巢孵卵，或聚集着成千上万的迁息鸟类；滨海沙滩具有旅游观光、作为浴场等很高的经济价值和社会价值，在旅游季节或有特殊用途时，应考虑公众的关注程度。</w:t>
      </w:r>
    </w:p>
    <w:p>
      <w:pPr>
        <w:pStyle w:val="24"/>
        <w:keepNext/>
        <w:keepLines w:val="0"/>
        <w:pageBreakBefore w:val="0"/>
        <w:widowControl/>
        <w:kinsoku/>
        <w:wordWrap/>
        <w:overflowPunct/>
        <w:topLinePunct w:val="0"/>
        <w:autoSpaceDE/>
        <w:autoSpaceDN/>
        <w:bidi w:val="0"/>
        <w:adjustRightInd/>
        <w:snapToGrid/>
        <w:spacing w:before="164" w:beforeLines="50" w:after="164" w:afterLines="50" w:line="360" w:lineRule="auto"/>
        <w:jc w:val="both"/>
        <w:textAlignment w:val="auto"/>
        <w:outlineLvl w:val="1"/>
        <w:rPr>
          <w:rFonts w:hint="eastAsia" w:ascii="仿宋" w:hAnsi="仿宋" w:eastAsia="仿宋" w:cs="仿宋"/>
          <w:b/>
          <w:bCs/>
          <w:iCs/>
          <w:sz w:val="28"/>
          <w:szCs w:val="28"/>
        </w:rPr>
      </w:pPr>
      <w:bookmarkStart w:id="89" w:name="_Toc14375"/>
      <w:bookmarkStart w:id="90" w:name="_Toc21543"/>
      <w:bookmarkStart w:id="91" w:name="_Toc16229"/>
      <w:r>
        <w:rPr>
          <w:rFonts w:hint="eastAsia" w:ascii="仿宋" w:hAnsi="仿宋" w:eastAsia="仿宋" w:cs="仿宋"/>
          <w:b/>
          <w:bCs/>
          <w:iCs/>
          <w:sz w:val="28"/>
          <w:szCs w:val="28"/>
          <w:lang w:val="en-US" w:eastAsia="zh-CN"/>
        </w:rPr>
        <w:t>7</w:t>
      </w:r>
      <w:r>
        <w:rPr>
          <w:rFonts w:hint="eastAsia" w:ascii="仿宋" w:hAnsi="仿宋" w:eastAsia="仿宋" w:cs="仿宋"/>
          <w:b/>
          <w:bCs/>
          <w:iCs/>
          <w:sz w:val="28"/>
          <w:szCs w:val="28"/>
        </w:rPr>
        <w:t>.3不同类型岸线污染清除方法</w:t>
      </w:r>
      <w:bookmarkEnd w:id="89"/>
      <w:bookmarkEnd w:id="90"/>
      <w:bookmarkEnd w:id="91"/>
    </w:p>
    <w:p>
      <w:pPr>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color w:val="1F497D"/>
          <w:sz w:val="28"/>
          <w:szCs w:val="28"/>
        </w:rPr>
      </w:pPr>
      <w:r>
        <w:rPr>
          <w:rFonts w:hint="eastAsia" w:ascii="仿宋" w:hAnsi="仿宋" w:eastAsia="仿宋" w:cs="仿宋"/>
          <w:sz w:val="28"/>
          <w:szCs w:val="28"/>
        </w:rPr>
        <w:t>根据不同岸线的特点和不同清除技术的适用范围，表</w:t>
      </w:r>
      <w:r>
        <w:rPr>
          <w:rFonts w:hint="eastAsia" w:ascii="仿宋" w:hAnsi="仿宋" w:eastAsia="仿宋" w:cs="仿宋"/>
          <w:sz w:val="28"/>
          <w:szCs w:val="28"/>
          <w:lang w:val="en-US" w:eastAsia="zh-CN"/>
        </w:rPr>
        <w:t>7</w:t>
      </w:r>
      <w:r>
        <w:rPr>
          <w:rFonts w:hint="eastAsia" w:ascii="仿宋" w:hAnsi="仿宋" w:eastAsia="仿宋" w:cs="仿宋"/>
          <w:sz w:val="28"/>
          <w:szCs w:val="28"/>
        </w:rPr>
        <w:t>-2总结了不同岸线初始清除和最终清除的清除方法。</w:t>
      </w:r>
    </w:p>
    <w:p>
      <w:pPr>
        <w:keepLines w:val="0"/>
        <w:pageBreakBefore w:val="0"/>
        <w:widowControl/>
        <w:kinsoku/>
        <w:wordWrap/>
        <w:overflowPunct/>
        <w:topLinePunct w:val="0"/>
        <w:autoSpaceDE/>
        <w:autoSpaceDN/>
        <w:bidi w:val="0"/>
        <w:adjustRightInd/>
        <w:snapToGrid/>
        <w:spacing w:line="360" w:lineRule="auto"/>
        <w:jc w:val="both"/>
        <w:textAlignment w:val="auto"/>
        <w:rPr>
          <w:rFonts w:hint="eastAsia" w:ascii="仿宋" w:hAnsi="仿宋" w:eastAsia="仿宋" w:cs="仿宋"/>
          <w:sz w:val="28"/>
          <w:szCs w:val="28"/>
        </w:rPr>
      </w:pPr>
    </w:p>
    <w:p>
      <w:pPr>
        <w:keepLines w:val="0"/>
        <w:pageBreakBefore w:val="0"/>
        <w:widowControl/>
        <w:kinsoku/>
        <w:wordWrap/>
        <w:overflowPunct/>
        <w:topLinePunct w:val="0"/>
        <w:autoSpaceDE/>
        <w:autoSpaceDN/>
        <w:bidi w:val="0"/>
        <w:adjustRightInd/>
        <w:snapToGrid/>
        <w:spacing w:line="360" w:lineRule="auto"/>
        <w:jc w:val="both"/>
        <w:textAlignment w:val="auto"/>
        <w:rPr>
          <w:rFonts w:hint="eastAsia" w:ascii="仿宋" w:hAnsi="仿宋" w:eastAsia="仿宋" w:cs="仿宋"/>
          <w:sz w:val="28"/>
          <w:szCs w:val="28"/>
        </w:rPr>
      </w:pPr>
    </w:p>
    <w:p>
      <w:pPr>
        <w:keepLines w:val="0"/>
        <w:pageBreakBefore w:val="0"/>
        <w:widowControl/>
        <w:kinsoku/>
        <w:wordWrap/>
        <w:overflowPunct/>
        <w:topLinePunct w:val="0"/>
        <w:autoSpaceDE/>
        <w:autoSpaceDN/>
        <w:bidi w:val="0"/>
        <w:adjustRightInd/>
        <w:snapToGrid/>
        <w:spacing w:line="360" w:lineRule="auto"/>
        <w:jc w:val="both"/>
        <w:textAlignment w:val="auto"/>
        <w:rPr>
          <w:rFonts w:hint="eastAsia" w:ascii="仿宋" w:hAnsi="仿宋" w:eastAsia="仿宋" w:cs="仿宋"/>
          <w:sz w:val="28"/>
          <w:szCs w:val="28"/>
        </w:rPr>
      </w:pPr>
    </w:p>
    <w:p>
      <w:pPr>
        <w:keepLines w:val="0"/>
        <w:pageBreakBefore w:val="0"/>
        <w:widowControl/>
        <w:kinsoku/>
        <w:wordWrap/>
        <w:overflowPunct/>
        <w:topLinePunct w:val="0"/>
        <w:autoSpaceDE/>
        <w:autoSpaceDN/>
        <w:bidi w:val="0"/>
        <w:adjustRightInd/>
        <w:snapToGrid/>
        <w:spacing w:line="360" w:lineRule="auto"/>
        <w:jc w:val="both"/>
        <w:textAlignment w:val="auto"/>
        <w:rPr>
          <w:rFonts w:hint="eastAsia" w:ascii="仿宋" w:hAnsi="仿宋" w:eastAsia="仿宋" w:cs="仿宋"/>
          <w:sz w:val="28"/>
          <w:szCs w:val="28"/>
        </w:rPr>
        <w:sectPr>
          <w:pgSz w:w="11906" w:h="16838"/>
          <w:pgMar w:top="1247" w:right="1418" w:bottom="1247" w:left="1418" w:header="964" w:footer="851" w:gutter="0"/>
          <w:pgBorders w:offsetFrom="page">
            <w:top w:val="none" w:sz="0" w:space="0"/>
            <w:left w:val="none" w:sz="0" w:space="0"/>
            <w:bottom w:val="none" w:sz="0" w:space="0"/>
            <w:right w:val="none" w:sz="0" w:space="0"/>
          </w:pgBorders>
          <w:pgNumType w:fmt="decimal"/>
          <w:cols w:space="720" w:num="1"/>
          <w:titlePg/>
          <w:docGrid w:linePitch="312" w:charSpace="0"/>
        </w:sectPr>
      </w:pPr>
    </w:p>
    <w:p>
      <w:pPr>
        <w:keepNext w:val="0"/>
        <w:keepLines w:val="0"/>
        <w:pageBreakBefore w:val="0"/>
        <w:widowControl/>
        <w:kinsoku/>
        <w:wordWrap/>
        <w:overflowPunct/>
        <w:topLinePunct w:val="0"/>
        <w:autoSpaceDE/>
        <w:autoSpaceDN/>
        <w:bidi w:val="0"/>
        <w:adjustRightInd/>
        <w:snapToGrid/>
        <w:spacing w:before="120" w:beforeLines="50" w:line="500" w:lineRule="exact"/>
        <w:jc w:val="center"/>
        <w:textAlignment w:val="auto"/>
        <w:rPr>
          <w:rFonts w:hint="eastAsia" w:ascii="仿宋" w:hAnsi="仿宋" w:eastAsia="仿宋" w:cs="仿宋"/>
          <w:b/>
          <w:sz w:val="28"/>
          <w:szCs w:val="28"/>
        </w:rPr>
      </w:pPr>
      <w:r>
        <w:rPr>
          <w:rFonts w:hint="eastAsia" w:ascii="仿宋" w:hAnsi="仿宋" w:eastAsia="仿宋" w:cs="仿宋"/>
          <w:b/>
          <w:sz w:val="28"/>
          <w:szCs w:val="28"/>
        </w:rPr>
        <w:t>表</w:t>
      </w:r>
      <w:r>
        <w:rPr>
          <w:rFonts w:hint="eastAsia" w:ascii="仿宋" w:hAnsi="仿宋" w:eastAsia="仿宋" w:cs="仿宋"/>
          <w:b/>
          <w:sz w:val="28"/>
          <w:szCs w:val="28"/>
          <w:lang w:val="en-US" w:eastAsia="zh-CN"/>
        </w:rPr>
        <w:t>7</w:t>
      </w:r>
      <w:r>
        <w:rPr>
          <w:rFonts w:hint="eastAsia" w:ascii="仿宋" w:hAnsi="仿宋" w:eastAsia="仿宋" w:cs="仿宋"/>
          <w:b/>
          <w:sz w:val="28"/>
          <w:szCs w:val="28"/>
        </w:rPr>
        <w:t>-2 不同类型岸线的清除方法</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60"/>
        <w:gridCol w:w="691"/>
        <w:gridCol w:w="825"/>
        <w:gridCol w:w="824"/>
        <w:gridCol w:w="825"/>
        <w:gridCol w:w="2453"/>
        <w:gridCol w:w="825"/>
        <w:gridCol w:w="960"/>
        <w:gridCol w:w="948"/>
        <w:gridCol w:w="1090"/>
        <w:gridCol w:w="870"/>
        <w:gridCol w:w="853"/>
        <w:gridCol w:w="156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2" w:hRule="exact"/>
          <w:jc w:val="center"/>
        </w:trPr>
        <w:tc>
          <w:tcPr>
            <w:tcW w:w="6912" w:type="dxa"/>
            <w:gridSpan w:val="6"/>
            <w:tcBorders>
              <w:tl2br w:val="nil"/>
              <w:tr2bl w:val="nil"/>
            </w:tcBorders>
            <w:noWrap w:val="0"/>
            <w:vAlign w:val="center"/>
          </w:tcPr>
          <w:p>
            <w:pPr>
              <w:spacing w:line="240" w:lineRule="auto"/>
              <w:ind w:left="-90"/>
              <w:jc w:val="center"/>
              <w:rPr>
                <w:rFonts w:hint="eastAsia" w:ascii="仿宋" w:hAnsi="仿宋" w:eastAsia="仿宋" w:cs="仿宋"/>
                <w:b/>
                <w:sz w:val="24"/>
                <w:szCs w:val="24"/>
              </w:rPr>
            </w:pPr>
            <w:r>
              <w:rPr>
                <w:rFonts w:hint="eastAsia" w:ascii="仿宋" w:hAnsi="仿宋" w:eastAsia="仿宋" w:cs="仿宋"/>
                <w:b/>
                <w:sz w:val="24"/>
                <w:szCs w:val="24"/>
              </w:rPr>
              <w:t>初始清除</w:t>
            </w:r>
          </w:p>
        </w:tc>
        <w:tc>
          <w:tcPr>
            <w:tcW w:w="7356" w:type="dxa"/>
            <w:gridSpan w:val="7"/>
            <w:tcBorders>
              <w:tl2br w:val="nil"/>
              <w:tr2bl w:val="nil"/>
            </w:tcBorders>
            <w:noWrap w:val="0"/>
            <w:vAlign w:val="center"/>
          </w:tcPr>
          <w:p>
            <w:pPr>
              <w:spacing w:line="240" w:lineRule="auto"/>
              <w:ind w:left="-90"/>
              <w:jc w:val="center"/>
              <w:rPr>
                <w:rFonts w:hint="eastAsia" w:ascii="仿宋" w:hAnsi="仿宋" w:eastAsia="仿宋" w:cs="仿宋"/>
                <w:b/>
                <w:sz w:val="24"/>
                <w:szCs w:val="24"/>
              </w:rPr>
            </w:pPr>
            <w:r>
              <w:rPr>
                <w:rFonts w:hint="eastAsia" w:ascii="仿宋" w:hAnsi="仿宋" w:eastAsia="仿宋" w:cs="仿宋"/>
                <w:b/>
                <w:sz w:val="24"/>
                <w:szCs w:val="24"/>
              </w:rPr>
              <w:t>最终清除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097"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p>
        </w:tc>
        <w:tc>
          <w:tcPr>
            <w:tcW w:w="712"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撇除</w:t>
            </w:r>
          </w:p>
        </w:tc>
        <w:tc>
          <w:tcPr>
            <w:tcW w:w="851"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机械</w:t>
            </w:r>
          </w:p>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清除</w:t>
            </w:r>
          </w:p>
        </w:tc>
        <w:tc>
          <w:tcPr>
            <w:tcW w:w="850"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人工</w:t>
            </w:r>
          </w:p>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清除</w:t>
            </w:r>
          </w:p>
        </w:tc>
        <w:tc>
          <w:tcPr>
            <w:tcW w:w="851"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自然</w:t>
            </w:r>
          </w:p>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复原</w:t>
            </w:r>
          </w:p>
        </w:tc>
        <w:tc>
          <w:tcPr>
            <w:tcW w:w="25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说明</w:t>
            </w:r>
          </w:p>
        </w:tc>
        <w:tc>
          <w:tcPr>
            <w:tcW w:w="851"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低压冲刷</w:t>
            </w:r>
          </w:p>
        </w:tc>
        <w:tc>
          <w:tcPr>
            <w:tcW w:w="992"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高压冲洗</w:t>
            </w:r>
          </w:p>
        </w:tc>
        <w:tc>
          <w:tcPr>
            <w:tcW w:w="980"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分散剂</w:t>
            </w:r>
          </w:p>
        </w:tc>
        <w:tc>
          <w:tcPr>
            <w:tcW w:w="1128"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自然有机</w:t>
            </w:r>
          </w:p>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吸附</w:t>
            </w:r>
          </w:p>
        </w:tc>
        <w:tc>
          <w:tcPr>
            <w:tcW w:w="898"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分批</w:t>
            </w:r>
          </w:p>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冲洗</w:t>
            </w:r>
          </w:p>
        </w:tc>
        <w:tc>
          <w:tcPr>
            <w:tcW w:w="88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自然</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复原</w:t>
            </w:r>
          </w:p>
        </w:tc>
        <w:tc>
          <w:tcPr>
            <w:tcW w:w="1626"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说明</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09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岩石、砾石、人工</w:t>
            </w:r>
          </w:p>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构筑物</w:t>
            </w:r>
          </w:p>
        </w:tc>
        <w:tc>
          <w:tcPr>
            <w:tcW w:w="71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不适用</w:t>
            </w:r>
          </w:p>
        </w:tc>
        <w:tc>
          <w:tcPr>
            <w:tcW w:w="85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2551" w:type="dxa"/>
            <w:tcBorders>
              <w:tl2br w:val="nil"/>
              <w:tr2bl w:val="nil"/>
            </w:tcBorders>
            <w:noWrap w:val="0"/>
            <w:vAlign w:val="center"/>
          </w:tcPr>
          <w:p>
            <w:pPr>
              <w:spacing w:line="240" w:lineRule="auto"/>
              <w:ind w:left="-90"/>
              <w:rPr>
                <w:rFonts w:hint="eastAsia" w:ascii="仿宋" w:hAnsi="仿宋" w:eastAsia="仿宋" w:cs="仿宋"/>
                <w:sz w:val="24"/>
                <w:szCs w:val="24"/>
              </w:rPr>
            </w:pPr>
            <w:r>
              <w:rPr>
                <w:rFonts w:hint="eastAsia" w:ascii="仿宋" w:hAnsi="仿宋" w:eastAsia="仿宋" w:cs="仿宋"/>
                <w:sz w:val="24"/>
                <w:szCs w:val="24"/>
              </w:rPr>
              <w:t>不易进出的不采用泵吸/撇除方法。暴露的和人迹罕至的岸线最好用自然复原方法</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不适用</w:t>
            </w:r>
          </w:p>
        </w:tc>
        <w:tc>
          <w:tcPr>
            <w:tcW w:w="99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98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112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可能有用</w:t>
            </w:r>
          </w:p>
        </w:tc>
        <w:tc>
          <w:tcPr>
            <w:tcW w:w="89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不适用</w:t>
            </w:r>
          </w:p>
        </w:tc>
        <w:tc>
          <w:tcPr>
            <w:tcW w:w="88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1626" w:type="dxa"/>
            <w:tcBorders>
              <w:tl2br w:val="nil"/>
              <w:tr2bl w:val="nil"/>
            </w:tcBorders>
            <w:noWrap w:val="0"/>
            <w:vAlign w:val="center"/>
          </w:tcPr>
          <w:p>
            <w:pPr>
              <w:spacing w:line="240" w:lineRule="auto"/>
              <w:ind w:left="-90"/>
              <w:rPr>
                <w:rFonts w:hint="eastAsia" w:ascii="仿宋" w:hAnsi="仿宋" w:eastAsia="仿宋" w:cs="仿宋"/>
                <w:sz w:val="24"/>
                <w:szCs w:val="24"/>
              </w:rPr>
            </w:pPr>
            <w:r>
              <w:rPr>
                <w:rFonts w:hint="eastAsia" w:ascii="仿宋" w:hAnsi="仿宋" w:eastAsia="仿宋" w:cs="仿宋"/>
                <w:sz w:val="24"/>
                <w:szCs w:val="24"/>
              </w:rPr>
              <w:t>避免损伤岩石/人工构筑物。</w:t>
            </w:r>
          </w:p>
          <w:p>
            <w:pPr>
              <w:spacing w:line="240" w:lineRule="auto"/>
              <w:ind w:left="-90"/>
              <w:rPr>
                <w:rFonts w:hint="eastAsia" w:ascii="仿宋" w:hAnsi="仿宋" w:eastAsia="仿宋" w:cs="仿宋"/>
                <w:sz w:val="24"/>
                <w:szCs w:val="24"/>
              </w:rPr>
            </w:pPr>
            <w:r>
              <w:rPr>
                <w:rFonts w:hint="eastAsia" w:ascii="仿宋" w:hAnsi="仿宋" w:eastAsia="仿宋" w:cs="仿宋"/>
                <w:sz w:val="24"/>
                <w:szCs w:val="24"/>
              </w:rPr>
              <w:t>巨大的岩石不易清除通常清除效果差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097" w:type="dxa"/>
            <w:tcBorders>
              <w:tl2br w:val="nil"/>
              <w:tr2bl w:val="nil"/>
            </w:tcBorders>
            <w:noWrap w:val="0"/>
            <w:vAlign w:val="center"/>
          </w:tcPr>
          <w:p>
            <w:pPr>
              <w:spacing w:line="240" w:lineRule="auto"/>
              <w:ind w:left="-90"/>
              <w:jc w:val="center"/>
              <w:rPr>
                <w:rFonts w:hint="eastAsia" w:ascii="仿宋" w:hAnsi="仿宋" w:eastAsia="仿宋" w:cs="仿宋"/>
                <w:sz w:val="24"/>
                <w:szCs w:val="24"/>
              </w:rPr>
            </w:pPr>
            <w:r>
              <w:rPr>
                <w:rFonts w:hint="eastAsia" w:ascii="仿宋" w:hAnsi="仿宋" w:eastAsia="仿宋" w:cs="仿宋"/>
                <w:sz w:val="24"/>
                <w:szCs w:val="24"/>
              </w:rPr>
              <w:t>卵石、砾石、扁砾石</w:t>
            </w:r>
          </w:p>
        </w:tc>
        <w:tc>
          <w:tcPr>
            <w:tcW w:w="71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不推荐</w:t>
            </w:r>
          </w:p>
        </w:tc>
        <w:tc>
          <w:tcPr>
            <w:tcW w:w="85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2551" w:type="dxa"/>
            <w:tcBorders>
              <w:tl2br w:val="nil"/>
              <w:tr2bl w:val="nil"/>
            </w:tcBorders>
            <w:noWrap w:val="0"/>
            <w:vAlign w:val="center"/>
          </w:tcPr>
          <w:p>
            <w:pPr>
              <w:spacing w:line="240" w:lineRule="auto"/>
              <w:ind w:left="-90"/>
              <w:rPr>
                <w:rFonts w:hint="eastAsia" w:ascii="仿宋" w:hAnsi="仿宋" w:eastAsia="仿宋" w:cs="仿宋"/>
                <w:sz w:val="24"/>
                <w:szCs w:val="24"/>
              </w:rPr>
            </w:pPr>
            <w:r>
              <w:rPr>
                <w:rFonts w:hint="eastAsia" w:ascii="仿宋" w:hAnsi="仿宋" w:eastAsia="仿宋" w:cs="仿宋"/>
                <w:sz w:val="24"/>
                <w:szCs w:val="24"/>
              </w:rPr>
              <w:t>暴露/人迹罕至的岸线最好用自然复原方法</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99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不推荐</w:t>
            </w:r>
          </w:p>
        </w:tc>
        <w:tc>
          <w:tcPr>
            <w:tcW w:w="98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112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可能有用</w:t>
            </w:r>
          </w:p>
        </w:tc>
        <w:tc>
          <w:tcPr>
            <w:tcW w:w="89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88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1626" w:type="dxa"/>
            <w:tcBorders>
              <w:tl2br w:val="nil"/>
              <w:tr2bl w:val="nil"/>
            </w:tcBorders>
            <w:noWrap w:val="0"/>
            <w:vAlign w:val="center"/>
          </w:tcPr>
          <w:p>
            <w:pPr>
              <w:spacing w:line="240" w:lineRule="auto"/>
              <w:ind w:left="-90"/>
              <w:rPr>
                <w:rFonts w:hint="eastAsia" w:ascii="仿宋" w:hAnsi="仿宋" w:eastAsia="仿宋" w:cs="仿宋"/>
                <w:sz w:val="24"/>
                <w:szCs w:val="24"/>
              </w:rPr>
            </w:pPr>
            <w:r>
              <w:rPr>
                <w:rFonts w:hint="eastAsia" w:ascii="仿宋" w:hAnsi="仿宋" w:eastAsia="仿宋" w:cs="仿宋"/>
                <w:sz w:val="24"/>
                <w:szCs w:val="24"/>
              </w:rPr>
              <w:t>如果有较好的承受特性，通过海浪冲击可提高自然复原效果</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09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沙滩</w:t>
            </w:r>
          </w:p>
        </w:tc>
        <w:tc>
          <w:tcPr>
            <w:tcW w:w="71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85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2551"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重型设备只适用于坚硬的海滩</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99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不推荐</w:t>
            </w:r>
          </w:p>
        </w:tc>
        <w:tc>
          <w:tcPr>
            <w:tcW w:w="98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112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不适用</w:t>
            </w:r>
          </w:p>
        </w:tc>
        <w:tc>
          <w:tcPr>
            <w:tcW w:w="89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88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1626"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可用通用的海滩清除机械清除固体状油。耕耙可提高自然复原效果</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097"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淤泥滩、沼泽</w:t>
            </w:r>
          </w:p>
        </w:tc>
        <w:tc>
          <w:tcPr>
            <w:tcW w:w="71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不推荐</w:t>
            </w:r>
          </w:p>
        </w:tc>
        <w:tc>
          <w:tcPr>
            <w:tcW w:w="85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2551"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最好用浅吃水的小船进行作业</w:t>
            </w:r>
          </w:p>
        </w:tc>
        <w:tc>
          <w:tcPr>
            <w:tcW w:w="85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992"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不推荐</w:t>
            </w:r>
          </w:p>
        </w:tc>
        <w:tc>
          <w:tcPr>
            <w:tcW w:w="980"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不推荐</w:t>
            </w:r>
          </w:p>
        </w:tc>
        <w:tc>
          <w:tcPr>
            <w:tcW w:w="112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可能</w:t>
            </w:r>
          </w:p>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有用</w:t>
            </w:r>
          </w:p>
        </w:tc>
        <w:tc>
          <w:tcPr>
            <w:tcW w:w="898"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不适用</w:t>
            </w:r>
          </w:p>
        </w:tc>
        <w:tc>
          <w:tcPr>
            <w:tcW w:w="881" w:type="dxa"/>
            <w:tcBorders>
              <w:tl2br w:val="nil"/>
              <w:tr2bl w:val="nil"/>
            </w:tcBorders>
            <w:noWrap w:val="0"/>
            <w:vAlign w:val="center"/>
          </w:tcPr>
          <w:p>
            <w:pPr>
              <w:spacing w:line="240" w:lineRule="auto"/>
              <w:jc w:val="center"/>
              <w:rPr>
                <w:rFonts w:hint="eastAsia" w:ascii="仿宋" w:hAnsi="仿宋" w:eastAsia="仿宋" w:cs="仿宋"/>
                <w:sz w:val="24"/>
                <w:szCs w:val="24"/>
              </w:rPr>
            </w:pPr>
            <w:r>
              <w:rPr>
                <w:rFonts w:hint="eastAsia" w:ascii="仿宋" w:hAnsi="仿宋" w:eastAsia="仿宋" w:cs="仿宋"/>
                <w:sz w:val="24"/>
                <w:szCs w:val="24"/>
              </w:rPr>
              <w:t>推荐</w:t>
            </w:r>
          </w:p>
        </w:tc>
        <w:tc>
          <w:tcPr>
            <w:tcW w:w="1626" w:type="dxa"/>
            <w:tcBorders>
              <w:tl2br w:val="nil"/>
              <w:tr2bl w:val="nil"/>
            </w:tcBorders>
            <w:noWrap w:val="0"/>
            <w:vAlign w:val="center"/>
          </w:tcPr>
          <w:p>
            <w:pPr>
              <w:spacing w:line="240" w:lineRule="auto"/>
              <w:rPr>
                <w:rFonts w:hint="eastAsia" w:ascii="仿宋" w:hAnsi="仿宋" w:eastAsia="仿宋" w:cs="仿宋"/>
                <w:sz w:val="24"/>
                <w:szCs w:val="24"/>
              </w:rPr>
            </w:pPr>
            <w:r>
              <w:rPr>
                <w:rFonts w:hint="eastAsia" w:ascii="仿宋" w:hAnsi="仿宋" w:eastAsia="仿宋" w:cs="仿宋"/>
                <w:sz w:val="24"/>
                <w:szCs w:val="24"/>
              </w:rPr>
              <w:t>最好用浅吃水的小船进行作业</w:t>
            </w:r>
          </w:p>
        </w:tc>
      </w:tr>
    </w:tbl>
    <w:p>
      <w:pPr>
        <w:keepLines w:val="0"/>
        <w:pageBreakBefore w:val="0"/>
        <w:widowControl/>
        <w:kinsoku/>
        <w:wordWrap/>
        <w:overflowPunct/>
        <w:topLinePunct w:val="0"/>
        <w:autoSpaceDE/>
        <w:autoSpaceDN/>
        <w:bidi w:val="0"/>
        <w:adjustRightInd/>
        <w:snapToGrid/>
        <w:spacing w:line="360" w:lineRule="auto"/>
        <w:jc w:val="both"/>
        <w:textAlignment w:val="auto"/>
        <w:rPr>
          <w:rFonts w:hint="eastAsia" w:ascii="仿宋" w:hAnsi="仿宋" w:eastAsia="仿宋" w:cs="仿宋"/>
          <w:sz w:val="28"/>
          <w:szCs w:val="28"/>
        </w:rPr>
        <w:sectPr>
          <w:pgSz w:w="16838" w:h="11906" w:orient="landscape"/>
          <w:pgMar w:top="1247" w:right="1417" w:bottom="1247" w:left="1418" w:header="964" w:footer="851" w:gutter="0"/>
          <w:pgBorders w:offsetFrom="page">
            <w:top w:val="none" w:sz="0" w:space="0"/>
            <w:left w:val="none" w:sz="0" w:space="0"/>
            <w:bottom w:val="none" w:sz="0" w:space="0"/>
            <w:right w:val="none" w:sz="0" w:space="0"/>
          </w:pgBorders>
          <w:pgNumType w:fmt="decimal"/>
          <w:cols w:space="720" w:num="1"/>
          <w:titlePg/>
          <w:docGrid w:linePitch="312" w:charSpace="0"/>
        </w:sectPr>
      </w:pPr>
    </w:p>
    <w:p>
      <w:pPr>
        <w:pStyle w:val="25"/>
        <w:keepNext/>
        <w:keepLines w:val="0"/>
        <w:pageBreakBefore w:val="0"/>
        <w:widowControl/>
        <w:kinsoku/>
        <w:wordWrap/>
        <w:overflowPunct/>
        <w:topLinePunct w:val="0"/>
        <w:autoSpaceDE/>
        <w:autoSpaceDN/>
        <w:bidi w:val="0"/>
        <w:adjustRightInd/>
        <w:snapToGrid/>
        <w:spacing w:before="157" w:beforeLines="50" w:after="157" w:afterLines="50" w:line="360" w:lineRule="auto"/>
        <w:ind w:left="0" w:leftChars="0" w:firstLine="562" w:firstLineChars="200"/>
        <w:jc w:val="both"/>
        <w:textAlignment w:val="auto"/>
        <w:outlineLvl w:val="0"/>
        <w:rPr>
          <w:rFonts w:hint="eastAsia" w:ascii="仿宋" w:hAnsi="仿宋" w:eastAsia="仿宋" w:cs="仿宋"/>
          <w:b/>
          <w:bCs/>
          <w:sz w:val="28"/>
          <w:szCs w:val="28"/>
        </w:rPr>
      </w:pPr>
      <w:bookmarkStart w:id="92" w:name="_Toc326"/>
      <w:bookmarkStart w:id="93" w:name="_Toc12608"/>
      <w:bookmarkStart w:id="94" w:name="_Toc10113"/>
      <w:r>
        <w:rPr>
          <w:rFonts w:hint="eastAsia" w:ascii="仿宋" w:hAnsi="仿宋" w:eastAsia="仿宋" w:cs="仿宋"/>
          <w:b/>
          <w:bCs/>
          <w:sz w:val="28"/>
          <w:szCs w:val="28"/>
          <w:lang w:val="en-US" w:eastAsia="zh-CN"/>
        </w:rPr>
        <w:t>8、</w:t>
      </w:r>
      <w:r>
        <w:rPr>
          <w:rFonts w:hint="eastAsia" w:ascii="仿宋" w:hAnsi="仿宋" w:eastAsia="仿宋" w:cs="仿宋"/>
          <w:b/>
          <w:bCs/>
          <w:sz w:val="28"/>
          <w:szCs w:val="28"/>
        </w:rPr>
        <w:t>污染清除作业安全方案</w:t>
      </w:r>
      <w:bookmarkEnd w:id="92"/>
      <w:bookmarkEnd w:id="93"/>
      <w:bookmarkEnd w:id="94"/>
    </w:p>
    <w:p>
      <w:pPr>
        <w:pStyle w:val="24"/>
        <w:keepNext/>
        <w:keepLines w:val="0"/>
        <w:pageBreakBefore w:val="0"/>
        <w:widowControl/>
        <w:kinsoku/>
        <w:wordWrap/>
        <w:overflowPunct/>
        <w:topLinePunct w:val="0"/>
        <w:autoSpaceDE/>
        <w:autoSpaceDN/>
        <w:bidi w:val="0"/>
        <w:adjustRightInd/>
        <w:snapToGrid/>
        <w:spacing w:before="164" w:beforeLines="50" w:after="164" w:afterLines="50" w:line="360" w:lineRule="auto"/>
        <w:ind w:left="0" w:leftChars="0" w:firstLine="562" w:firstLineChars="200"/>
        <w:jc w:val="both"/>
        <w:textAlignment w:val="auto"/>
        <w:outlineLvl w:val="1"/>
        <w:rPr>
          <w:rFonts w:hint="eastAsia" w:ascii="仿宋" w:hAnsi="仿宋" w:eastAsia="仿宋" w:cs="仿宋"/>
          <w:b/>
          <w:bCs/>
          <w:iCs/>
          <w:sz w:val="28"/>
          <w:szCs w:val="28"/>
        </w:rPr>
      </w:pPr>
      <w:bookmarkStart w:id="95" w:name="_Toc26550"/>
      <w:bookmarkStart w:id="96" w:name="_Toc12461"/>
      <w:bookmarkStart w:id="97" w:name="_Toc5505"/>
      <w:r>
        <w:rPr>
          <w:rFonts w:hint="eastAsia" w:ascii="仿宋" w:hAnsi="仿宋" w:eastAsia="仿宋" w:cs="仿宋"/>
          <w:b/>
          <w:bCs/>
          <w:iCs/>
          <w:sz w:val="28"/>
          <w:szCs w:val="28"/>
          <w:lang w:val="en-US" w:eastAsia="zh-CN"/>
        </w:rPr>
        <w:t>8</w:t>
      </w:r>
      <w:r>
        <w:rPr>
          <w:rFonts w:hint="eastAsia" w:ascii="仿宋" w:hAnsi="仿宋" w:eastAsia="仿宋" w:cs="仿宋"/>
          <w:b/>
          <w:bCs/>
          <w:iCs/>
          <w:sz w:val="28"/>
          <w:szCs w:val="28"/>
        </w:rPr>
        <w:t>.1本公司配备的安全防护设备设施情况</w:t>
      </w:r>
      <w:bookmarkEnd w:id="95"/>
      <w:bookmarkEnd w:id="96"/>
      <w:bookmarkEnd w:id="97"/>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lang w:eastAsia="zh-CN"/>
        </w:rPr>
      </w:pPr>
      <w:r>
        <w:rPr>
          <w:rFonts w:hint="eastAsia" w:ascii="仿宋" w:hAnsi="仿宋" w:eastAsia="仿宋" w:cs="仿宋"/>
          <w:sz w:val="28"/>
          <w:szCs w:val="28"/>
        </w:rPr>
        <w:t>本公司为溢油应急清污人员配备有防化服、安全帽、正压式呼吸器、防护眼罩等防护用品，详见表</w:t>
      </w:r>
      <w:r>
        <w:rPr>
          <w:rFonts w:hint="eastAsia" w:ascii="仿宋" w:hAnsi="仿宋" w:eastAsia="仿宋" w:cs="仿宋"/>
          <w:sz w:val="28"/>
          <w:szCs w:val="28"/>
          <w:lang w:val="en-US" w:eastAsia="zh-CN"/>
        </w:rPr>
        <w:t>8</w:t>
      </w:r>
      <w:r>
        <w:rPr>
          <w:rFonts w:hint="eastAsia" w:ascii="仿宋" w:hAnsi="仿宋" w:eastAsia="仿宋" w:cs="仿宋"/>
          <w:sz w:val="28"/>
          <w:szCs w:val="28"/>
        </w:rPr>
        <w:t>-1</w:t>
      </w:r>
      <w:r>
        <w:rPr>
          <w:rFonts w:hint="eastAsia" w:ascii="仿宋" w:hAnsi="仿宋" w:eastAsia="仿宋" w:cs="仿宋"/>
          <w:sz w:val="28"/>
          <w:szCs w:val="28"/>
          <w:lang w:eastAsia="zh-CN"/>
        </w:rPr>
        <w:t>。</w:t>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sz w:val="24"/>
          <w:szCs w:val="24"/>
        </w:rPr>
      </w:pPr>
      <w:r>
        <w:rPr>
          <w:rFonts w:hint="eastAsia" w:ascii="仿宋" w:hAnsi="仿宋" w:eastAsia="仿宋" w:cs="仿宋"/>
          <w:b/>
          <w:sz w:val="24"/>
          <w:szCs w:val="24"/>
        </w:rPr>
        <w:t>表</w:t>
      </w:r>
      <w:r>
        <w:rPr>
          <w:rFonts w:hint="eastAsia" w:ascii="仿宋" w:hAnsi="仿宋" w:eastAsia="仿宋" w:cs="仿宋"/>
          <w:b/>
          <w:sz w:val="24"/>
          <w:szCs w:val="24"/>
          <w:lang w:val="en-US" w:eastAsia="zh-CN"/>
        </w:rPr>
        <w:t>8</w:t>
      </w:r>
      <w:r>
        <w:rPr>
          <w:rFonts w:hint="eastAsia" w:ascii="仿宋" w:hAnsi="仿宋" w:eastAsia="仿宋" w:cs="仿宋"/>
          <w:b/>
          <w:sz w:val="24"/>
          <w:szCs w:val="24"/>
        </w:rPr>
        <w:t>-1 本公司配备的安全防护设备设施情况</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450"/>
        <w:gridCol w:w="3343"/>
        <w:gridCol w:w="2403"/>
        <w:gridCol w:w="181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序号</w:t>
            </w:r>
          </w:p>
        </w:tc>
        <w:tc>
          <w:tcPr>
            <w:tcW w:w="3451"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名称</w:t>
            </w:r>
          </w:p>
        </w:tc>
        <w:tc>
          <w:tcPr>
            <w:tcW w:w="2478"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规格型号</w:t>
            </w:r>
          </w:p>
        </w:tc>
        <w:tc>
          <w:tcPr>
            <w:tcW w:w="1866" w:type="dxa"/>
            <w:tcBorders>
              <w:tl2br w:val="nil"/>
              <w:tr2bl w:val="nil"/>
            </w:tcBorders>
            <w:noWrap w:val="0"/>
            <w:vAlign w:val="center"/>
          </w:tcPr>
          <w:p>
            <w:pPr>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数量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1</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防化服</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2</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安全帽</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3</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防护眼镜</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4</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防噪耳罩</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5</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防毒面具</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6</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口罩</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7</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阻油防护衣</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8</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分体雨衣</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25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9</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lang w:eastAsia="zh-CN"/>
              </w:rPr>
            </w:pPr>
            <w:r>
              <w:rPr>
                <w:rFonts w:hint="eastAsia" w:ascii="仿宋" w:hAnsi="仿宋" w:eastAsia="仿宋" w:cs="仿宋"/>
                <w:sz w:val="24"/>
                <w:szCs w:val="24"/>
                <w:lang w:eastAsia="zh-CN"/>
              </w:rPr>
              <w:t>救生衣</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70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10</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防油手套</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rPr>
              <w:t>1</w:t>
            </w:r>
            <w:r>
              <w:rPr>
                <w:rFonts w:hint="eastAsia" w:ascii="仿宋" w:hAnsi="仿宋" w:eastAsia="仿宋" w:cs="仿宋"/>
                <w:sz w:val="24"/>
                <w:szCs w:val="24"/>
                <w:lang w:val="en-US" w:eastAsia="zh-CN"/>
              </w:rPr>
              <w:t>1</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耐油防护鞋</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rPr>
              <w:t>1</w:t>
            </w:r>
            <w:r>
              <w:rPr>
                <w:rFonts w:hint="eastAsia" w:ascii="仿宋" w:hAnsi="仿宋" w:eastAsia="仿宋" w:cs="仿宋"/>
                <w:sz w:val="24"/>
                <w:szCs w:val="24"/>
                <w:lang w:val="en-US" w:eastAsia="zh-CN"/>
              </w:rPr>
              <w:t>2</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防滑水靴</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13</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lang w:eastAsia="zh-CN"/>
              </w:rPr>
            </w:pPr>
            <w:r>
              <w:rPr>
                <w:rFonts w:hint="eastAsia" w:ascii="仿宋" w:hAnsi="仿宋" w:eastAsia="仿宋" w:cs="仿宋"/>
                <w:sz w:val="24"/>
                <w:szCs w:val="24"/>
                <w:lang w:eastAsia="zh-CN"/>
              </w:rPr>
              <w:t>医用急救箱</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1491" w:type="dxa"/>
            <w:tcBorders>
              <w:tl2br w:val="nil"/>
              <w:tr2bl w:val="nil"/>
            </w:tcBorders>
            <w:noWrap w:val="0"/>
            <w:vAlign w:val="center"/>
          </w:tcPr>
          <w:p>
            <w:pPr>
              <w:spacing w:line="40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rPr>
              <w:t>1</w:t>
            </w:r>
            <w:r>
              <w:rPr>
                <w:rFonts w:hint="eastAsia" w:ascii="仿宋" w:hAnsi="仿宋" w:eastAsia="仿宋" w:cs="仿宋"/>
                <w:sz w:val="24"/>
                <w:szCs w:val="24"/>
                <w:lang w:val="en-US" w:eastAsia="zh-CN"/>
              </w:rPr>
              <w:t>4</w:t>
            </w:r>
          </w:p>
        </w:tc>
        <w:tc>
          <w:tcPr>
            <w:tcW w:w="3451" w:type="dxa"/>
            <w:tcBorders>
              <w:tl2br w:val="nil"/>
              <w:tr2bl w:val="nil"/>
            </w:tcBorders>
            <w:noWrap w:val="0"/>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正压式呼吸器</w:t>
            </w:r>
          </w:p>
        </w:tc>
        <w:tc>
          <w:tcPr>
            <w:tcW w:w="2478" w:type="dxa"/>
            <w:tcBorders>
              <w:tl2br w:val="nil"/>
              <w:tr2bl w:val="nil"/>
            </w:tcBorders>
            <w:noWrap w:val="0"/>
            <w:vAlign w:val="center"/>
          </w:tcPr>
          <w:p>
            <w:pPr>
              <w:spacing w:line="400" w:lineRule="exact"/>
              <w:jc w:val="center"/>
              <w:rPr>
                <w:rFonts w:hint="eastAsia" w:ascii="仿宋" w:hAnsi="仿宋" w:eastAsia="仿宋" w:cs="仿宋"/>
                <w:sz w:val="24"/>
                <w:szCs w:val="24"/>
              </w:rPr>
            </w:pPr>
          </w:p>
        </w:tc>
        <w:tc>
          <w:tcPr>
            <w:tcW w:w="1866" w:type="dxa"/>
            <w:tcBorders>
              <w:tl2br w:val="nil"/>
              <w:tr2bl w:val="nil"/>
            </w:tcBorders>
            <w:noWrap w:val="0"/>
            <w:vAlign w:val="center"/>
          </w:tcPr>
          <w:p>
            <w:pPr>
              <w:spacing w:line="400" w:lineRule="exact"/>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2</w:t>
            </w:r>
          </w:p>
        </w:tc>
      </w:tr>
    </w:tbl>
    <w:p>
      <w:pPr>
        <w:spacing w:line="360" w:lineRule="auto"/>
        <w:jc w:val="both"/>
        <w:rPr>
          <w:rFonts w:hint="eastAsia" w:ascii="仿宋" w:hAnsi="仿宋" w:eastAsia="仿宋" w:cs="仿宋"/>
          <w:sz w:val="28"/>
          <w:szCs w:val="28"/>
          <w:lang w:val="en-US"/>
        </w:rPr>
      </w:pPr>
    </w:p>
    <w:p>
      <w:pPr>
        <w:pStyle w:val="24"/>
        <w:keepNext/>
        <w:keepLines w:val="0"/>
        <w:pageBreakBefore w:val="0"/>
        <w:widowControl/>
        <w:kinsoku/>
        <w:wordWrap/>
        <w:overflowPunct/>
        <w:topLinePunct w:val="0"/>
        <w:autoSpaceDE/>
        <w:autoSpaceDN/>
        <w:bidi w:val="0"/>
        <w:adjustRightInd/>
        <w:snapToGrid/>
        <w:spacing w:before="164" w:beforeLines="50" w:after="164" w:afterLines="50" w:line="360" w:lineRule="auto"/>
        <w:ind w:left="0" w:leftChars="0" w:firstLine="562" w:firstLineChars="200"/>
        <w:jc w:val="both"/>
        <w:textAlignment w:val="auto"/>
        <w:outlineLvl w:val="1"/>
        <w:rPr>
          <w:rFonts w:hint="eastAsia" w:ascii="仿宋" w:hAnsi="仿宋" w:eastAsia="仿宋" w:cs="仿宋"/>
          <w:b/>
          <w:bCs/>
          <w:iCs/>
          <w:sz w:val="28"/>
          <w:szCs w:val="28"/>
        </w:rPr>
      </w:pPr>
      <w:bookmarkStart w:id="98" w:name="_Toc32365"/>
      <w:bookmarkStart w:id="99" w:name="_Toc3591"/>
      <w:bookmarkStart w:id="100" w:name="_Toc3798"/>
      <w:r>
        <w:rPr>
          <w:rFonts w:hint="eastAsia" w:ascii="仿宋" w:hAnsi="仿宋" w:eastAsia="仿宋" w:cs="仿宋"/>
          <w:b/>
          <w:bCs/>
          <w:iCs/>
          <w:sz w:val="28"/>
          <w:szCs w:val="28"/>
          <w:lang w:val="en-US" w:eastAsia="zh-CN"/>
        </w:rPr>
        <w:t>8</w:t>
      </w:r>
      <w:r>
        <w:rPr>
          <w:rFonts w:hint="eastAsia" w:ascii="仿宋" w:hAnsi="仿宋" w:eastAsia="仿宋" w:cs="仿宋"/>
          <w:b/>
          <w:bCs/>
          <w:iCs/>
          <w:sz w:val="28"/>
          <w:szCs w:val="28"/>
        </w:rPr>
        <w:t>.2</w:t>
      </w:r>
      <w:r>
        <w:rPr>
          <w:rFonts w:hint="eastAsia" w:ascii="仿宋" w:hAnsi="仿宋" w:eastAsia="仿宋" w:cs="仿宋"/>
          <w:b/>
          <w:bCs/>
          <w:iCs/>
          <w:sz w:val="28"/>
          <w:szCs w:val="28"/>
          <w:lang w:val="en-US" w:eastAsia="zh-CN"/>
        </w:rPr>
        <w:t xml:space="preserve"> </w:t>
      </w:r>
      <w:r>
        <w:rPr>
          <w:rFonts w:hint="eastAsia" w:ascii="仿宋" w:hAnsi="仿宋" w:eastAsia="仿宋" w:cs="仿宋"/>
          <w:b/>
          <w:bCs/>
          <w:iCs/>
          <w:sz w:val="28"/>
          <w:szCs w:val="28"/>
          <w:lang w:eastAsia="zh-CN"/>
        </w:rPr>
        <w:t>作员人员个人防护及作业安全</w:t>
      </w:r>
      <w:r>
        <w:rPr>
          <w:rFonts w:hint="eastAsia" w:ascii="仿宋" w:hAnsi="仿宋" w:eastAsia="仿宋" w:cs="仿宋"/>
          <w:b/>
          <w:bCs/>
          <w:iCs/>
          <w:sz w:val="28"/>
          <w:szCs w:val="28"/>
        </w:rPr>
        <w:t>方案</w:t>
      </w:r>
      <w:bookmarkEnd w:id="98"/>
      <w:bookmarkEnd w:id="99"/>
      <w:bookmarkEnd w:id="100"/>
    </w:p>
    <w:p>
      <w:pPr>
        <w:widowControl w:val="0"/>
        <w:numPr>
          <w:ilvl w:val="0"/>
          <w:numId w:val="0"/>
        </w:numPr>
        <w:tabs>
          <w:tab w:val="left" w:pos="1260"/>
        </w:tabs>
        <w:spacing w:line="360" w:lineRule="auto"/>
        <w:ind w:right="0" w:rightChars="0" w:firstLine="562" w:firstLineChars="200"/>
        <w:jc w:val="both"/>
        <w:rPr>
          <w:rFonts w:hint="eastAsia" w:ascii="仿宋" w:hAnsi="仿宋" w:eastAsia="仿宋" w:cs="仿宋"/>
          <w:sz w:val="28"/>
          <w:szCs w:val="28"/>
        </w:rPr>
      </w:pPr>
      <w:r>
        <w:rPr>
          <w:rFonts w:hint="eastAsia" w:ascii="仿宋" w:hAnsi="仿宋" w:eastAsia="仿宋" w:cs="仿宋"/>
          <w:b/>
          <w:bCs/>
          <w:sz w:val="28"/>
          <w:szCs w:val="28"/>
          <w:lang w:val="en-US" w:eastAsia="zh-CN"/>
        </w:rPr>
        <w:t xml:space="preserve">8.2.1 </w:t>
      </w:r>
      <w:r>
        <w:rPr>
          <w:rFonts w:hint="eastAsia" w:ascii="仿宋" w:hAnsi="仿宋" w:eastAsia="仿宋" w:cs="仿宋"/>
          <w:b/>
          <w:bCs/>
          <w:sz w:val="28"/>
          <w:szCs w:val="28"/>
        </w:rPr>
        <w:t xml:space="preserve">人员的安全防护方案 </w:t>
      </w:r>
      <w:r>
        <w:rPr>
          <w:rFonts w:hint="eastAsia" w:ascii="仿宋" w:hAnsi="仿宋" w:eastAsia="仿宋" w:cs="仿宋"/>
          <w:sz w:val="28"/>
          <w:szCs w:val="28"/>
        </w:rPr>
        <w:t xml:space="preserve"> </w:t>
      </w:r>
    </w:p>
    <w:p>
      <w:pPr>
        <w:spacing w:line="360" w:lineRule="auto"/>
        <w:ind w:firstLine="700" w:firstLineChars="250"/>
        <w:jc w:val="both"/>
        <w:rPr>
          <w:rFonts w:hint="eastAsia" w:ascii="仿宋" w:hAnsi="仿宋" w:eastAsia="仿宋" w:cs="仿宋"/>
          <w:sz w:val="28"/>
          <w:szCs w:val="28"/>
        </w:rPr>
      </w:pPr>
      <w:r>
        <w:rPr>
          <w:rFonts w:hint="eastAsia" w:ascii="仿宋" w:hAnsi="仿宋" w:eastAsia="仿宋" w:cs="仿宋"/>
          <w:sz w:val="28"/>
          <w:szCs w:val="28"/>
        </w:rPr>
        <w:t>对于溢油应急清污作业人员来说，在清污作业的过程中，应做到以下几个方面的防护：</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1</w:t>
      </w:r>
      <w:r>
        <w:rPr>
          <w:rFonts w:hint="eastAsia" w:ascii="仿宋" w:hAnsi="仿宋" w:eastAsia="仿宋" w:cs="仿宋"/>
          <w:sz w:val="28"/>
          <w:szCs w:val="28"/>
          <w:lang w:eastAsia="zh-CN"/>
        </w:rPr>
        <w:t>）</w:t>
      </w:r>
      <w:r>
        <w:rPr>
          <w:rFonts w:hint="eastAsia" w:ascii="仿宋" w:hAnsi="仿宋" w:eastAsia="仿宋" w:cs="仿宋"/>
          <w:sz w:val="28"/>
          <w:szCs w:val="28"/>
        </w:rPr>
        <w:t>听力保护，长时间在产生噪音的机器旁工作应戴耳朵保护装置。</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2</w:t>
      </w:r>
      <w:r>
        <w:rPr>
          <w:rFonts w:hint="eastAsia" w:ascii="仿宋" w:hAnsi="仿宋" w:eastAsia="仿宋" w:cs="仿宋"/>
          <w:sz w:val="28"/>
          <w:szCs w:val="28"/>
          <w:lang w:eastAsia="zh-CN"/>
        </w:rPr>
        <w:t>）</w:t>
      </w:r>
      <w:r>
        <w:rPr>
          <w:rFonts w:hint="eastAsia" w:ascii="仿宋" w:hAnsi="仿宋" w:eastAsia="仿宋" w:cs="仿宋"/>
          <w:sz w:val="28"/>
          <w:szCs w:val="28"/>
        </w:rPr>
        <w:t>头部保护，在清污的全过程中，应戴好安全帽，以防高处                坠落物和撞到硬物上，造成头部的伤害。</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3</w:t>
      </w:r>
      <w:r>
        <w:rPr>
          <w:rFonts w:hint="eastAsia" w:ascii="仿宋" w:hAnsi="仿宋" w:eastAsia="仿宋" w:cs="仿宋"/>
          <w:sz w:val="28"/>
          <w:szCs w:val="28"/>
          <w:lang w:eastAsia="zh-CN"/>
        </w:rPr>
        <w:t>）</w:t>
      </w:r>
      <w:r>
        <w:rPr>
          <w:rFonts w:hint="eastAsia" w:ascii="仿宋" w:hAnsi="仿宋" w:eastAsia="仿宋" w:cs="仿宋"/>
          <w:sz w:val="28"/>
          <w:szCs w:val="28"/>
        </w:rPr>
        <w:t>眼睛保护， 清污作业人员，应根据作业现场的情况，配戴合适的防护眼睛，防止对眼睛造成的伤害。</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4</w:t>
      </w:r>
      <w:r>
        <w:rPr>
          <w:rFonts w:hint="eastAsia" w:ascii="仿宋" w:hAnsi="仿宋" w:eastAsia="仿宋" w:cs="仿宋"/>
          <w:sz w:val="28"/>
          <w:szCs w:val="28"/>
          <w:lang w:eastAsia="zh-CN"/>
        </w:rPr>
        <w:t>）</w:t>
      </w:r>
      <w:r>
        <w:rPr>
          <w:rFonts w:hint="eastAsia" w:ascii="仿宋" w:hAnsi="仿宋" w:eastAsia="仿宋" w:cs="仿宋"/>
          <w:sz w:val="28"/>
          <w:szCs w:val="28"/>
        </w:rPr>
        <w:t>配戴呼吸器和口罩，防止油蒸气或毒气的吸入。</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5</w:t>
      </w:r>
      <w:r>
        <w:rPr>
          <w:rFonts w:hint="eastAsia" w:ascii="仿宋" w:hAnsi="仿宋" w:eastAsia="仿宋" w:cs="仿宋"/>
          <w:sz w:val="28"/>
          <w:szCs w:val="28"/>
          <w:lang w:eastAsia="zh-CN"/>
        </w:rPr>
        <w:t>）</w:t>
      </w:r>
      <w:r>
        <w:rPr>
          <w:rFonts w:hint="eastAsia" w:ascii="仿宋" w:hAnsi="仿宋" w:eastAsia="仿宋" w:cs="仿宋"/>
          <w:sz w:val="28"/>
          <w:szCs w:val="28"/>
        </w:rPr>
        <w:t>配戴防油手套和阻油防护服，防止污油的接触损害，减少对皮肤的暴露和伤害。</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6</w:t>
      </w:r>
      <w:r>
        <w:rPr>
          <w:rFonts w:hint="eastAsia" w:ascii="仿宋" w:hAnsi="仿宋" w:eastAsia="仿宋" w:cs="仿宋"/>
          <w:sz w:val="28"/>
          <w:szCs w:val="28"/>
          <w:lang w:eastAsia="zh-CN"/>
        </w:rPr>
        <w:t>）</w:t>
      </w:r>
      <w:r>
        <w:rPr>
          <w:rFonts w:hint="eastAsia" w:ascii="仿宋" w:hAnsi="仿宋" w:eastAsia="仿宋" w:cs="仿宋"/>
          <w:sz w:val="28"/>
          <w:szCs w:val="28"/>
        </w:rPr>
        <w:t>配穿防滑、耐油，防腐的保护靴。</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7</w:t>
      </w:r>
      <w:r>
        <w:rPr>
          <w:rFonts w:hint="eastAsia" w:ascii="仿宋" w:hAnsi="仿宋" w:eastAsia="仿宋" w:cs="仿宋"/>
          <w:sz w:val="28"/>
          <w:szCs w:val="28"/>
          <w:lang w:eastAsia="zh-CN"/>
        </w:rPr>
        <w:t>）</w:t>
      </w:r>
      <w:r>
        <w:rPr>
          <w:rFonts w:hint="eastAsia" w:ascii="仿宋" w:hAnsi="仿宋" w:eastAsia="仿宋" w:cs="仿宋"/>
          <w:sz w:val="28"/>
          <w:szCs w:val="28"/>
        </w:rPr>
        <w:t>在近海、近岸、码头或在船上作业，要穿戴救生衣。</w:t>
      </w:r>
    </w:p>
    <w:p>
      <w:pPr>
        <w:widowControl w:val="0"/>
        <w:numPr>
          <w:ilvl w:val="0"/>
          <w:numId w:val="0"/>
        </w:numPr>
        <w:tabs>
          <w:tab w:val="left" w:pos="851"/>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8</w:t>
      </w:r>
      <w:r>
        <w:rPr>
          <w:rFonts w:hint="eastAsia" w:ascii="仿宋" w:hAnsi="仿宋" w:eastAsia="仿宋" w:cs="仿宋"/>
          <w:sz w:val="28"/>
          <w:szCs w:val="28"/>
          <w:lang w:eastAsia="zh-CN"/>
        </w:rPr>
        <w:t>）</w:t>
      </w:r>
      <w:r>
        <w:rPr>
          <w:rFonts w:hint="eastAsia" w:ascii="仿宋" w:hAnsi="仿宋" w:eastAsia="仿宋" w:cs="仿宋"/>
          <w:sz w:val="28"/>
          <w:szCs w:val="28"/>
        </w:rPr>
        <w:t>在寒冷恶劣的天气下，要穿戴保暖服。</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 xml:space="preserve">8.2.2 </w:t>
      </w:r>
      <w:r>
        <w:rPr>
          <w:rFonts w:hint="eastAsia" w:ascii="仿宋" w:hAnsi="仿宋" w:eastAsia="仿宋" w:cs="仿宋"/>
          <w:b/>
          <w:bCs/>
          <w:sz w:val="28"/>
          <w:szCs w:val="28"/>
        </w:rPr>
        <w:t>现场清污作业安全方案</w:t>
      </w:r>
    </w:p>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在清污现场，溢油对人体的危害途径有油蒸气的吸入、皮肤接触和摄取。为了避免清污人员可能发生的中毒，应采取以下作业方案：</w:t>
      </w:r>
    </w:p>
    <w:p>
      <w:pPr>
        <w:widowControl w:val="0"/>
        <w:numPr>
          <w:ilvl w:val="0"/>
          <w:numId w:val="0"/>
        </w:numPr>
        <w:tabs>
          <w:tab w:val="left" w:pos="709"/>
        </w:tabs>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1</w:t>
      </w:r>
      <w:r>
        <w:rPr>
          <w:rFonts w:hint="eastAsia" w:ascii="仿宋" w:hAnsi="仿宋" w:eastAsia="仿宋" w:cs="仿宋"/>
          <w:sz w:val="28"/>
          <w:szCs w:val="28"/>
          <w:lang w:eastAsia="zh-CN"/>
        </w:rPr>
        <w:t>）</w:t>
      </w:r>
      <w:r>
        <w:rPr>
          <w:rFonts w:hint="eastAsia" w:ascii="仿宋" w:hAnsi="仿宋" w:eastAsia="仿宋" w:cs="仿宋"/>
          <w:sz w:val="28"/>
          <w:szCs w:val="28"/>
        </w:rPr>
        <w:t>在清污作业时，作业人员应尽量在上风处操作回收溢油，以减少对油蒸气的吸入。如果存在溢油蒸气的吸入可能，清污人员就必须配戴有过滤功能的呼吸器，来阻止油气的吸入。在作业现场严禁吸烟。</w:t>
      </w:r>
    </w:p>
    <w:p>
      <w:pPr>
        <w:widowControl w:val="0"/>
        <w:numPr>
          <w:ilvl w:val="0"/>
          <w:numId w:val="0"/>
        </w:numPr>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2</w:t>
      </w:r>
      <w:r>
        <w:rPr>
          <w:rFonts w:hint="eastAsia" w:ascii="仿宋" w:hAnsi="仿宋" w:eastAsia="仿宋" w:cs="仿宋"/>
          <w:sz w:val="28"/>
          <w:szCs w:val="28"/>
          <w:lang w:eastAsia="zh-CN"/>
        </w:rPr>
        <w:t>）</w:t>
      </w:r>
      <w:r>
        <w:rPr>
          <w:rFonts w:hint="eastAsia" w:ascii="仿宋" w:hAnsi="仿宋" w:eastAsia="仿宋" w:cs="仿宋"/>
          <w:sz w:val="28"/>
          <w:szCs w:val="28"/>
        </w:rPr>
        <w:t>在码头、内锚地附近等油蒸气浓度较高的区域作业时，要待油蒸气彻底消散后，再进入现场进行溢油清污作业。</w:t>
      </w:r>
    </w:p>
    <w:p>
      <w:pPr>
        <w:widowControl w:val="0"/>
        <w:numPr>
          <w:ilvl w:val="0"/>
          <w:numId w:val="0"/>
        </w:numPr>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3</w:t>
      </w:r>
      <w:r>
        <w:rPr>
          <w:rFonts w:hint="eastAsia" w:ascii="仿宋" w:hAnsi="仿宋" w:eastAsia="仿宋" w:cs="仿宋"/>
          <w:sz w:val="28"/>
          <w:szCs w:val="28"/>
          <w:lang w:eastAsia="zh-CN"/>
        </w:rPr>
        <w:t>）</w:t>
      </w:r>
      <w:r>
        <w:rPr>
          <w:rFonts w:hint="eastAsia" w:ascii="仿宋" w:hAnsi="仿宋" w:eastAsia="仿宋" w:cs="仿宋"/>
          <w:sz w:val="28"/>
          <w:szCs w:val="28"/>
        </w:rPr>
        <w:t>如果皮肤沾上油污，要尽快擦掉，用肥皂或清洗液清洗，不能用汽油。</w:t>
      </w:r>
    </w:p>
    <w:p>
      <w:pPr>
        <w:widowControl w:val="0"/>
        <w:numPr>
          <w:ilvl w:val="0"/>
          <w:numId w:val="0"/>
        </w:numPr>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4</w:t>
      </w:r>
      <w:r>
        <w:rPr>
          <w:rFonts w:hint="eastAsia" w:ascii="仿宋" w:hAnsi="仿宋" w:eastAsia="仿宋" w:cs="仿宋"/>
          <w:sz w:val="28"/>
          <w:szCs w:val="28"/>
          <w:lang w:eastAsia="zh-CN"/>
        </w:rPr>
        <w:t>）</w:t>
      </w:r>
      <w:r>
        <w:rPr>
          <w:rFonts w:hint="eastAsia" w:ascii="仿宋" w:hAnsi="仿宋" w:eastAsia="仿宋" w:cs="仿宋"/>
          <w:sz w:val="28"/>
          <w:szCs w:val="28"/>
        </w:rPr>
        <w:t>在处理毒性可能增大的风化油时，清污人员要采取特殊的措施加以预防。</w:t>
      </w:r>
    </w:p>
    <w:p>
      <w:pPr>
        <w:widowControl w:val="0"/>
        <w:numPr>
          <w:ilvl w:val="0"/>
          <w:numId w:val="0"/>
        </w:numPr>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5</w:t>
      </w:r>
      <w:r>
        <w:rPr>
          <w:rFonts w:hint="eastAsia" w:ascii="仿宋" w:hAnsi="仿宋" w:eastAsia="仿宋" w:cs="仿宋"/>
          <w:sz w:val="28"/>
          <w:szCs w:val="28"/>
          <w:lang w:eastAsia="zh-CN"/>
        </w:rPr>
        <w:t>）</w:t>
      </w:r>
      <w:r>
        <w:rPr>
          <w:rFonts w:hint="eastAsia" w:ascii="仿宋" w:hAnsi="仿宋" w:eastAsia="仿宋" w:cs="仿宋"/>
          <w:sz w:val="28"/>
          <w:szCs w:val="28"/>
        </w:rPr>
        <w:t>在使用消油剂等化学制剂进行溢油处置时，清污人员要采取保护措施，减少和避免皮肤接触和油蒸气的吸入。同时严格按照消油剂的技术标准要求和使用说明进行操作。</w:t>
      </w:r>
    </w:p>
    <w:p>
      <w:pPr>
        <w:widowControl w:val="0"/>
        <w:numPr>
          <w:ilvl w:val="0"/>
          <w:numId w:val="0"/>
        </w:numPr>
        <w:spacing w:line="360" w:lineRule="auto"/>
        <w:ind w:right="0" w:rightChars="0" w:firstLine="560" w:firstLineChars="200"/>
        <w:jc w:val="both"/>
        <w:rPr>
          <w:rFonts w:hint="eastAsia" w:ascii="仿宋" w:hAnsi="仿宋" w:eastAsia="仿宋" w:cs="仿宋"/>
          <w:sz w:val="28"/>
          <w:szCs w:val="28"/>
        </w:rPr>
      </w:pP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6</w:t>
      </w:r>
      <w:r>
        <w:rPr>
          <w:rFonts w:hint="eastAsia" w:ascii="仿宋" w:hAnsi="仿宋" w:eastAsia="仿宋" w:cs="仿宋"/>
          <w:sz w:val="28"/>
          <w:szCs w:val="28"/>
          <w:lang w:eastAsia="zh-CN"/>
        </w:rPr>
        <w:t>）</w:t>
      </w:r>
      <w:r>
        <w:rPr>
          <w:rFonts w:hint="eastAsia" w:ascii="仿宋" w:hAnsi="仿宋" w:eastAsia="仿宋" w:cs="仿宋"/>
          <w:sz w:val="28"/>
          <w:szCs w:val="28"/>
        </w:rPr>
        <w:t>溢油清污作业期间，按要求穿戴防护服，保证对人体的防护。</w:t>
      </w: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 xml:space="preserve">8.2.3 </w:t>
      </w:r>
      <w:r>
        <w:rPr>
          <w:rFonts w:hint="eastAsia" w:ascii="仿宋" w:hAnsi="仿宋" w:eastAsia="仿宋" w:cs="仿宋"/>
          <w:b/>
          <w:bCs/>
          <w:sz w:val="28"/>
          <w:szCs w:val="28"/>
        </w:rPr>
        <w:t>防火防爆作业方案</w:t>
      </w:r>
    </w:p>
    <w:p>
      <w:pPr>
        <w:spacing w:line="360" w:lineRule="auto"/>
        <w:ind w:firstLine="560" w:firstLineChars="200"/>
        <w:jc w:val="both"/>
        <w:rPr>
          <w:rFonts w:hint="eastAsia"/>
        </w:rPr>
      </w:pPr>
      <w:r>
        <w:rPr>
          <w:rFonts w:hint="eastAsia" w:ascii="仿宋" w:hAnsi="仿宋" w:eastAsia="仿宋" w:cs="仿宋"/>
          <w:sz w:val="28"/>
          <w:szCs w:val="28"/>
        </w:rPr>
        <w:t>在原油、汽油或其它轻质燃料油溢出的初级阶段（未风化）。由于其轻组分的蒸发，在油膜附近存在着易燃气体，引发火灾和爆炸的危险性很大。进行此类的溢油应急清除作业前，要充分了解掌握溢油的相关参数，对火灾和爆炸的潜在危险进行预防。在确认我火灾和爆炸的危险后，方可进行清除作业。作业时，要在溢油区域的上风进行。</w:t>
      </w:r>
    </w:p>
    <w:p>
      <w:pPr>
        <w:keepNext w:val="0"/>
        <w:keepLines w:val="0"/>
        <w:pageBreakBefore w:val="0"/>
        <w:widowControl/>
        <w:kinsoku/>
        <w:wordWrap/>
        <w:overflowPunct/>
        <w:topLinePunct w:val="0"/>
        <w:autoSpaceDE/>
        <w:autoSpaceDN/>
        <w:bidi w:val="0"/>
        <w:adjustRightInd/>
        <w:snapToGrid/>
        <w:spacing w:line="360" w:lineRule="auto"/>
        <w:ind w:firstLine="560" w:firstLineChars="200"/>
        <w:jc w:val="both"/>
        <w:textAlignment w:val="auto"/>
        <w:rPr>
          <w:rFonts w:hint="eastAsia" w:ascii="仿宋" w:hAnsi="仿宋" w:eastAsia="仿宋" w:cs="仿宋"/>
          <w:sz w:val="28"/>
          <w:szCs w:val="28"/>
        </w:rPr>
      </w:pPr>
      <w:r>
        <w:rPr>
          <w:rFonts w:hint="eastAsia" w:ascii="仿宋" w:hAnsi="仿宋" w:eastAsia="仿宋" w:cs="仿宋"/>
          <w:sz w:val="28"/>
          <w:szCs w:val="28"/>
        </w:rPr>
        <w:t>污染清除作业过程中的安全方案</w:t>
      </w:r>
      <w:r>
        <w:rPr>
          <w:rFonts w:hint="eastAsia" w:ascii="仿宋" w:hAnsi="仿宋" w:eastAsia="仿宋" w:cs="仿宋"/>
          <w:sz w:val="28"/>
          <w:szCs w:val="28"/>
          <w:lang w:eastAsia="zh-CN"/>
        </w:rPr>
        <w:t>、措施及对策</w:t>
      </w:r>
      <w:r>
        <w:rPr>
          <w:rFonts w:hint="eastAsia" w:ascii="仿宋" w:hAnsi="仿宋" w:eastAsia="仿宋" w:cs="仿宋"/>
          <w:sz w:val="28"/>
          <w:szCs w:val="28"/>
        </w:rPr>
        <w:t>见表</w:t>
      </w:r>
      <w:r>
        <w:rPr>
          <w:rFonts w:hint="eastAsia" w:ascii="仿宋" w:hAnsi="仿宋" w:eastAsia="仿宋" w:cs="仿宋"/>
          <w:sz w:val="28"/>
          <w:szCs w:val="28"/>
          <w:lang w:val="en-US" w:eastAsia="zh-CN"/>
        </w:rPr>
        <w:t>8</w:t>
      </w:r>
      <w:r>
        <w:rPr>
          <w:rFonts w:hint="eastAsia" w:ascii="仿宋" w:hAnsi="仿宋" w:eastAsia="仿宋" w:cs="仿宋"/>
          <w:sz w:val="28"/>
          <w:szCs w:val="28"/>
        </w:rPr>
        <w:t>-2</w:t>
      </w:r>
      <w:r>
        <w:rPr>
          <w:rFonts w:hint="eastAsia" w:ascii="仿宋" w:hAnsi="仿宋" w:eastAsia="仿宋" w:cs="仿宋"/>
          <w:sz w:val="28"/>
          <w:szCs w:val="28"/>
          <w:lang w:eastAsia="zh-CN"/>
        </w:rPr>
        <w:t>、</w:t>
      </w:r>
      <w:r>
        <w:rPr>
          <w:rFonts w:hint="eastAsia" w:ascii="仿宋" w:hAnsi="仿宋" w:eastAsia="仿宋" w:cs="仿宋"/>
          <w:sz w:val="28"/>
          <w:szCs w:val="28"/>
          <w:lang w:val="en-US" w:eastAsia="zh-CN"/>
        </w:rPr>
        <w:t>8-3.1、8-3.2</w:t>
      </w:r>
      <w:r>
        <w:rPr>
          <w:rFonts w:hint="eastAsia" w:ascii="仿宋" w:hAnsi="仿宋" w:eastAsia="仿宋" w:cs="仿宋"/>
          <w:sz w:val="28"/>
          <w:szCs w:val="28"/>
        </w:rPr>
        <w:t>。</w:t>
      </w:r>
    </w:p>
    <w:p>
      <w:pPr>
        <w:keepNext w:val="0"/>
        <w:keepLines w:val="0"/>
        <w:pageBreakBefore w:val="0"/>
        <w:widowControl/>
        <w:kinsoku/>
        <w:wordWrap/>
        <w:overflowPunct/>
        <w:topLinePunct w:val="0"/>
        <w:autoSpaceDE/>
        <w:autoSpaceDN/>
        <w:bidi w:val="0"/>
        <w:adjustRightInd/>
        <w:snapToGrid/>
        <w:spacing w:line="500" w:lineRule="exact"/>
        <w:jc w:val="center"/>
        <w:textAlignment w:val="auto"/>
        <w:rPr>
          <w:rFonts w:hint="eastAsia" w:ascii="仿宋" w:hAnsi="仿宋" w:eastAsia="仿宋" w:cs="仿宋"/>
          <w:b/>
          <w:sz w:val="28"/>
          <w:szCs w:val="28"/>
        </w:rPr>
      </w:pPr>
      <w:r>
        <w:rPr>
          <w:rFonts w:hint="eastAsia" w:ascii="仿宋" w:hAnsi="仿宋" w:eastAsia="仿宋" w:cs="仿宋"/>
          <w:b/>
          <w:sz w:val="28"/>
          <w:szCs w:val="28"/>
        </w:rPr>
        <w:t>表</w:t>
      </w:r>
      <w:r>
        <w:rPr>
          <w:rFonts w:hint="eastAsia" w:ascii="仿宋" w:hAnsi="仿宋" w:eastAsia="仿宋" w:cs="仿宋"/>
          <w:b/>
          <w:sz w:val="28"/>
          <w:szCs w:val="28"/>
          <w:lang w:val="en-US" w:eastAsia="zh-CN"/>
        </w:rPr>
        <w:t>8</w:t>
      </w:r>
      <w:r>
        <w:rPr>
          <w:rFonts w:hint="eastAsia" w:ascii="仿宋" w:hAnsi="仿宋" w:eastAsia="仿宋" w:cs="仿宋"/>
          <w:b/>
          <w:sz w:val="28"/>
          <w:szCs w:val="28"/>
        </w:rPr>
        <w:t>-2  污染清除作业过程中的安全方案</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944"/>
        <w:gridCol w:w="606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tblHeader/>
          <w:jc w:val="center"/>
        </w:trPr>
        <w:tc>
          <w:tcPr>
            <w:tcW w:w="2943"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事故类别</w:t>
            </w:r>
          </w:p>
        </w:tc>
        <w:tc>
          <w:tcPr>
            <w:tcW w:w="6060"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安全方案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943" w:type="dxa"/>
            <w:tcBorders>
              <w:tl2br w:val="nil"/>
              <w:tr2bl w:val="nil"/>
            </w:tcBorders>
            <w:noWrap w:val="0"/>
            <w:vAlign w:val="center"/>
          </w:tcPr>
          <w:p>
            <w:pPr>
              <w:widowControl w:val="0"/>
              <w:spacing w:line="400" w:lineRule="exact"/>
              <w:jc w:val="center"/>
              <w:rPr>
                <w:rFonts w:hint="eastAsia" w:ascii="仿宋" w:hAnsi="仿宋" w:eastAsia="仿宋" w:cs="仿宋"/>
                <w:sz w:val="24"/>
                <w:szCs w:val="24"/>
              </w:rPr>
            </w:pPr>
            <w:r>
              <w:rPr>
                <w:rFonts w:hint="eastAsia" w:ascii="仿宋" w:hAnsi="仿宋" w:eastAsia="仿宋" w:cs="仿宋"/>
                <w:sz w:val="24"/>
                <w:szCs w:val="24"/>
              </w:rPr>
              <w:t>石油及其制品泄漏事故</w:t>
            </w:r>
          </w:p>
        </w:tc>
        <w:tc>
          <w:tcPr>
            <w:tcW w:w="6060" w:type="dxa"/>
            <w:tcBorders>
              <w:tl2br w:val="nil"/>
              <w:tr2bl w:val="nil"/>
            </w:tcBorders>
            <w:noWrap w:val="0"/>
            <w:vAlign w:val="top"/>
          </w:tcPr>
          <w:p>
            <w:pPr>
              <w:widowControl w:val="0"/>
              <w:numPr>
                <w:ilvl w:val="0"/>
                <w:numId w:val="5"/>
              </w:numPr>
              <w:tabs>
                <w:tab w:val="left" w:pos="318"/>
              </w:tabs>
              <w:spacing w:line="400" w:lineRule="exact"/>
              <w:ind w:hanging="952"/>
              <w:rPr>
                <w:rFonts w:hint="eastAsia" w:ascii="仿宋" w:hAnsi="仿宋" w:eastAsia="仿宋" w:cs="仿宋"/>
                <w:sz w:val="24"/>
                <w:szCs w:val="24"/>
              </w:rPr>
            </w:pPr>
            <w:r>
              <w:rPr>
                <w:rFonts w:hint="eastAsia" w:ascii="仿宋" w:hAnsi="仿宋" w:eastAsia="仿宋" w:cs="仿宋"/>
                <w:sz w:val="24"/>
                <w:szCs w:val="24"/>
              </w:rPr>
              <w:t>不要回收容易被点燃的挥发性液体</w:t>
            </w:r>
          </w:p>
          <w:p>
            <w:pPr>
              <w:widowControl w:val="0"/>
              <w:numPr>
                <w:ilvl w:val="0"/>
                <w:numId w:val="5"/>
              </w:numPr>
              <w:tabs>
                <w:tab w:val="left" w:pos="318"/>
              </w:tabs>
              <w:spacing w:line="400" w:lineRule="exact"/>
              <w:ind w:hanging="952"/>
              <w:rPr>
                <w:rFonts w:hint="eastAsia" w:ascii="仿宋" w:hAnsi="仿宋" w:eastAsia="仿宋" w:cs="仿宋"/>
                <w:sz w:val="24"/>
                <w:szCs w:val="24"/>
              </w:rPr>
            </w:pPr>
            <w:r>
              <w:rPr>
                <w:rFonts w:hint="eastAsia" w:ascii="仿宋" w:hAnsi="仿宋" w:eastAsia="仿宋" w:cs="仿宋"/>
                <w:sz w:val="24"/>
                <w:szCs w:val="24"/>
              </w:rPr>
              <w:t>穿上防护衣、防护鞋、戴上防护眼镜和防护手套</w:t>
            </w:r>
          </w:p>
          <w:p>
            <w:pPr>
              <w:widowControl w:val="0"/>
              <w:numPr>
                <w:ilvl w:val="0"/>
                <w:numId w:val="5"/>
              </w:numPr>
              <w:tabs>
                <w:tab w:val="left" w:pos="318"/>
              </w:tabs>
              <w:spacing w:line="400" w:lineRule="exact"/>
              <w:ind w:hanging="952"/>
              <w:rPr>
                <w:rFonts w:hint="eastAsia" w:ascii="仿宋" w:hAnsi="仿宋" w:eastAsia="仿宋" w:cs="仿宋"/>
                <w:sz w:val="24"/>
                <w:szCs w:val="24"/>
              </w:rPr>
            </w:pPr>
            <w:r>
              <w:rPr>
                <w:rFonts w:hint="eastAsia" w:ascii="仿宋" w:hAnsi="仿宋" w:eastAsia="仿宋" w:cs="仿宋"/>
                <w:sz w:val="24"/>
                <w:szCs w:val="24"/>
              </w:rPr>
              <w:t>使用喷洒水冷却存储舱和促进蒸气扩散</w:t>
            </w:r>
          </w:p>
          <w:p>
            <w:pPr>
              <w:widowControl w:val="0"/>
              <w:numPr>
                <w:ilvl w:val="0"/>
                <w:numId w:val="5"/>
              </w:numPr>
              <w:tabs>
                <w:tab w:val="left" w:pos="318"/>
              </w:tabs>
              <w:spacing w:line="400" w:lineRule="exact"/>
              <w:ind w:hanging="952"/>
              <w:rPr>
                <w:rFonts w:hint="eastAsia" w:ascii="仿宋" w:hAnsi="仿宋" w:eastAsia="仿宋" w:cs="仿宋"/>
                <w:sz w:val="24"/>
                <w:szCs w:val="24"/>
              </w:rPr>
            </w:pPr>
            <w:r>
              <w:rPr>
                <w:rFonts w:hint="eastAsia" w:ascii="仿宋" w:hAnsi="仿宋" w:eastAsia="仿宋" w:cs="仿宋"/>
                <w:sz w:val="24"/>
                <w:szCs w:val="24"/>
              </w:rPr>
              <w:t>详细注意事项见表7</w:t>
            </w:r>
            <w:r>
              <w:rPr>
                <w:rFonts w:hint="eastAsia" w:ascii="仿宋" w:hAnsi="仿宋" w:eastAsia="仿宋" w:cs="仿宋"/>
                <w:sz w:val="24"/>
                <w:szCs w:val="24"/>
                <w:lang w:val="en-US" w:eastAsia="zh-CN"/>
              </w:rPr>
              <w:t>-3</w:t>
            </w:r>
            <w:r>
              <w:rPr>
                <w:rFonts w:hint="eastAsia" w:ascii="仿宋" w:hAnsi="仿宋" w:eastAsia="仿宋" w:cs="仿宋"/>
                <w:sz w:val="24"/>
                <w:szCs w:val="24"/>
              </w:rPr>
              <w:t>—典型油品安全措施及应急对策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943" w:type="dxa"/>
            <w:tcBorders>
              <w:tl2br w:val="nil"/>
              <w:tr2bl w:val="nil"/>
            </w:tcBorders>
            <w:noWrap w:val="0"/>
            <w:vAlign w:val="center"/>
          </w:tcPr>
          <w:p>
            <w:pPr>
              <w:widowControl w:val="0"/>
              <w:spacing w:line="400" w:lineRule="exact"/>
              <w:jc w:val="center"/>
              <w:rPr>
                <w:rFonts w:hint="eastAsia" w:ascii="仿宋" w:hAnsi="仿宋" w:eastAsia="仿宋" w:cs="仿宋"/>
                <w:sz w:val="24"/>
                <w:szCs w:val="24"/>
              </w:rPr>
            </w:pPr>
            <w:r>
              <w:rPr>
                <w:rFonts w:hint="eastAsia" w:ascii="仿宋" w:hAnsi="仿宋" w:eastAsia="仿宋" w:cs="仿宋"/>
                <w:sz w:val="24"/>
                <w:szCs w:val="24"/>
              </w:rPr>
              <w:t>船舶事故</w:t>
            </w:r>
          </w:p>
        </w:tc>
        <w:tc>
          <w:tcPr>
            <w:tcW w:w="6060" w:type="dxa"/>
            <w:tcBorders>
              <w:tl2br w:val="nil"/>
              <w:tr2bl w:val="nil"/>
            </w:tcBorders>
            <w:noWrap w:val="0"/>
            <w:vAlign w:val="top"/>
          </w:tcPr>
          <w:p>
            <w:pPr>
              <w:widowControl w:val="0"/>
              <w:numPr>
                <w:ilvl w:val="0"/>
                <w:numId w:val="5"/>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特别注意可能发生的火灾、爆炸以及有毒物质泄漏</w:t>
            </w:r>
          </w:p>
          <w:p>
            <w:pPr>
              <w:widowControl w:val="0"/>
              <w:numPr>
                <w:ilvl w:val="0"/>
                <w:numId w:val="5"/>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确保拖绳方便解开，以便能快速离开</w:t>
            </w:r>
          </w:p>
          <w:p>
            <w:pPr>
              <w:widowControl w:val="0"/>
              <w:numPr>
                <w:ilvl w:val="0"/>
                <w:numId w:val="5"/>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不要单独行动或做超出个人能力的事情</w:t>
            </w:r>
          </w:p>
          <w:p>
            <w:pPr>
              <w:widowControl w:val="0"/>
              <w:numPr>
                <w:ilvl w:val="0"/>
                <w:numId w:val="5"/>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穿上防护衣、防护鞋、戴上防护眼镜和防护手套</w:t>
            </w:r>
          </w:p>
          <w:p>
            <w:pPr>
              <w:widowControl w:val="0"/>
              <w:numPr>
                <w:ilvl w:val="0"/>
                <w:numId w:val="5"/>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如果船舶着火，尽量从着火船舶的上风向靠近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943" w:type="dxa"/>
            <w:tcBorders>
              <w:tl2br w:val="nil"/>
              <w:tr2bl w:val="nil"/>
            </w:tcBorders>
            <w:noWrap w:val="0"/>
            <w:vAlign w:val="center"/>
          </w:tcPr>
          <w:p>
            <w:pPr>
              <w:widowControl w:val="0"/>
              <w:spacing w:line="400" w:lineRule="exact"/>
              <w:jc w:val="center"/>
              <w:rPr>
                <w:rFonts w:hint="eastAsia" w:ascii="仿宋" w:hAnsi="仿宋" w:eastAsia="仿宋" w:cs="仿宋"/>
                <w:sz w:val="24"/>
                <w:szCs w:val="24"/>
              </w:rPr>
            </w:pPr>
            <w:r>
              <w:rPr>
                <w:rFonts w:hint="eastAsia" w:ascii="仿宋" w:hAnsi="仿宋" w:eastAsia="仿宋" w:cs="仿宋"/>
                <w:sz w:val="24"/>
                <w:szCs w:val="24"/>
              </w:rPr>
              <w:t>火灾爆炸、自然灾害</w:t>
            </w:r>
          </w:p>
        </w:tc>
        <w:tc>
          <w:tcPr>
            <w:tcW w:w="6060" w:type="dxa"/>
            <w:tcBorders>
              <w:tl2br w:val="nil"/>
              <w:tr2bl w:val="nil"/>
            </w:tcBorders>
            <w:noWrap w:val="0"/>
            <w:vAlign w:val="top"/>
          </w:tcPr>
          <w:p>
            <w:pPr>
              <w:widowControl w:val="0"/>
              <w:numPr>
                <w:ilvl w:val="0"/>
                <w:numId w:val="5"/>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咨询有关专家，以得到必要的帮助和建议</w:t>
            </w:r>
          </w:p>
          <w:p>
            <w:pPr>
              <w:widowControl w:val="0"/>
              <w:numPr>
                <w:ilvl w:val="0"/>
                <w:numId w:val="5"/>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不要单独行动或做超出个人能力的事情</w:t>
            </w:r>
          </w:p>
          <w:p>
            <w:pPr>
              <w:widowControl w:val="0"/>
              <w:numPr>
                <w:ilvl w:val="0"/>
                <w:numId w:val="5"/>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处在火灾现场和有毒物质散发上风向</w:t>
            </w:r>
          </w:p>
          <w:p>
            <w:pPr>
              <w:widowControl w:val="0"/>
              <w:numPr>
                <w:ilvl w:val="0"/>
                <w:numId w:val="5"/>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穿上防护衣、防护鞋、戴上防护眼镜和防护手套</w:t>
            </w:r>
          </w:p>
          <w:p>
            <w:pPr>
              <w:widowControl w:val="0"/>
              <w:numPr>
                <w:ilvl w:val="0"/>
                <w:numId w:val="5"/>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确保人员离开现场，直到危险确实已经消除</w:t>
            </w:r>
          </w:p>
        </w:tc>
      </w:tr>
    </w:tbl>
    <w:p>
      <w:pPr>
        <w:pStyle w:val="7"/>
        <w:rPr>
          <w:rFonts w:hint="default" w:ascii="仿宋" w:hAnsi="仿宋" w:eastAsia="仿宋" w:cs="仿宋"/>
          <w:color w:val="auto"/>
          <w:sz w:val="28"/>
          <w:szCs w:val="28"/>
          <w:lang w:val="en-US" w:eastAsia="zh-CN"/>
        </w:rPr>
      </w:pPr>
    </w:p>
    <w:p>
      <w:pPr>
        <w:spacing w:line="480" w:lineRule="exact"/>
        <w:jc w:val="center"/>
        <w:rPr>
          <w:rFonts w:hint="eastAsia" w:ascii="仿宋" w:hAnsi="仿宋" w:eastAsia="仿宋" w:cs="仿宋"/>
          <w:b/>
          <w:sz w:val="28"/>
          <w:szCs w:val="28"/>
        </w:rPr>
      </w:pPr>
      <w:r>
        <w:rPr>
          <w:rFonts w:hint="eastAsia" w:ascii="仿宋" w:hAnsi="仿宋" w:eastAsia="仿宋" w:cs="仿宋"/>
          <w:b/>
          <w:sz w:val="28"/>
          <w:szCs w:val="28"/>
        </w:rPr>
        <w:t>表</w:t>
      </w:r>
      <w:r>
        <w:rPr>
          <w:rFonts w:hint="eastAsia" w:ascii="仿宋" w:hAnsi="仿宋" w:eastAsia="仿宋" w:cs="仿宋"/>
          <w:b/>
          <w:sz w:val="28"/>
          <w:szCs w:val="28"/>
          <w:lang w:val="en-US" w:eastAsia="zh-CN"/>
        </w:rPr>
        <w:t>8</w:t>
      </w:r>
      <w:r>
        <w:rPr>
          <w:rFonts w:hint="eastAsia" w:ascii="仿宋" w:hAnsi="仿宋" w:eastAsia="仿宋" w:cs="仿宋"/>
          <w:b/>
          <w:sz w:val="28"/>
          <w:szCs w:val="28"/>
        </w:rPr>
        <w:t>-</w:t>
      </w:r>
      <w:r>
        <w:rPr>
          <w:rFonts w:hint="eastAsia" w:ascii="仿宋" w:hAnsi="仿宋" w:eastAsia="仿宋" w:cs="仿宋"/>
          <w:b/>
          <w:sz w:val="28"/>
          <w:szCs w:val="28"/>
          <w:lang w:val="en-US" w:eastAsia="zh-CN"/>
        </w:rPr>
        <w:t>3</w:t>
      </w:r>
      <w:r>
        <w:rPr>
          <w:rFonts w:hint="eastAsia" w:ascii="仿宋" w:hAnsi="仿宋" w:eastAsia="仿宋" w:cs="仿宋"/>
          <w:b/>
          <w:sz w:val="28"/>
          <w:szCs w:val="28"/>
        </w:rPr>
        <w:t>.1 安全措施及应急对策（汽油）</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251"/>
        <w:gridCol w:w="2251"/>
        <w:gridCol w:w="2252"/>
        <w:gridCol w:w="225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642" w:type="dxa"/>
            <w:gridSpan w:val="2"/>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油品名称</w:t>
            </w:r>
          </w:p>
        </w:tc>
        <w:tc>
          <w:tcPr>
            <w:tcW w:w="4644" w:type="dxa"/>
            <w:gridSpan w:val="2"/>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汽油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警告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5"/>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容易形成爆炸性油气混合物</w:t>
            </w:r>
          </w:p>
          <w:p>
            <w:pPr>
              <w:widowControl w:val="0"/>
              <w:numPr>
                <w:ilvl w:val="0"/>
                <w:numId w:val="5"/>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蒸气可将一定距离内的火源点燃并沿着蒸气经过的地方形成火龙</w:t>
            </w:r>
          </w:p>
          <w:p>
            <w:pPr>
              <w:widowControl w:val="0"/>
              <w:numPr>
                <w:ilvl w:val="0"/>
                <w:numId w:val="5"/>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接触到眼睛可产生刺激性</w:t>
            </w:r>
          </w:p>
          <w:p>
            <w:pPr>
              <w:widowControl w:val="0"/>
              <w:numPr>
                <w:ilvl w:val="0"/>
                <w:numId w:val="5"/>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吸入蒸气可引起对呼吸道的刺激、头痛、呕吐、意识模糊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tabs>
                <w:tab w:val="left" w:pos="318"/>
              </w:tabs>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人员防护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一定穿上防水、防化学腐蚀的工作服、手套、靴子以及护目镜，最好用氰化、氟化橡胶材质的（不要用天然橡胶或氯丁橡胶）</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戴上过滤有机蒸气的防护呼吸罩</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tabs>
                <w:tab w:val="left" w:pos="318"/>
              </w:tabs>
              <w:spacing w:line="400" w:lineRule="exact"/>
              <w:jc w:val="center"/>
              <w:rPr>
                <w:rFonts w:hint="eastAsia" w:ascii="仿宋" w:hAnsi="仿宋" w:eastAsia="仿宋" w:cs="仿宋"/>
                <w:sz w:val="24"/>
                <w:szCs w:val="24"/>
              </w:rPr>
            </w:pPr>
            <w:r>
              <w:rPr>
                <w:rFonts w:hint="eastAsia" w:ascii="仿宋" w:hAnsi="仿宋" w:eastAsia="仿宋" w:cs="仿宋"/>
                <w:b/>
                <w:bCs/>
                <w:sz w:val="24"/>
                <w:szCs w:val="24"/>
              </w:rPr>
              <w:t>预防措施、方法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使汽油蒸发以免发生爆炸</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避免与强氧化剂接触，入硝酸、硫酸、氯气、臭氧、过氧化物</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限制火源</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防止无关人员进入事故现场，必须从上风向接近溢出点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tabs>
                <w:tab w:val="left" w:pos="318"/>
              </w:tabs>
              <w:spacing w:line="400" w:lineRule="exact"/>
              <w:jc w:val="center"/>
              <w:rPr>
                <w:rFonts w:hint="eastAsia" w:ascii="仿宋" w:hAnsi="仿宋" w:eastAsia="仿宋" w:cs="仿宋"/>
                <w:sz w:val="24"/>
                <w:szCs w:val="24"/>
              </w:rPr>
            </w:pPr>
            <w:r>
              <w:rPr>
                <w:rFonts w:hint="eastAsia" w:ascii="仿宋" w:hAnsi="仿宋" w:eastAsia="仿宋" w:cs="仿宋"/>
                <w:b/>
                <w:bCs/>
                <w:sz w:val="24"/>
                <w:szCs w:val="24"/>
              </w:rPr>
              <w:t>火灾事故应急措施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仅仅在安全条件允许的条件下方可采取行动</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自戴氧气瓶、切断燃料供给，采用CO</w:t>
            </w:r>
            <w:r>
              <w:rPr>
                <w:rFonts w:hint="eastAsia" w:ascii="仿宋" w:hAnsi="仿宋" w:eastAsia="仿宋" w:cs="仿宋"/>
                <w:sz w:val="24"/>
                <w:szCs w:val="24"/>
                <w:vertAlign w:val="subscript"/>
              </w:rPr>
              <w:t>2</w:t>
            </w:r>
            <w:r>
              <w:rPr>
                <w:rFonts w:hint="eastAsia" w:ascii="仿宋" w:hAnsi="仿宋" w:eastAsia="仿宋" w:cs="仿宋"/>
                <w:sz w:val="24"/>
                <w:szCs w:val="24"/>
              </w:rPr>
              <w:t>、干粉、泡沫灭火器，用水冷却可能发生火灾的容器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急救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321"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眼睛</w:t>
            </w:r>
          </w:p>
        </w:tc>
        <w:tc>
          <w:tcPr>
            <w:tcW w:w="2321"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皮肤</w:t>
            </w:r>
          </w:p>
        </w:tc>
        <w:tc>
          <w:tcPr>
            <w:tcW w:w="2322"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呼吸</w:t>
            </w:r>
          </w:p>
        </w:tc>
        <w:tc>
          <w:tcPr>
            <w:tcW w:w="2322"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吸入液体</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21" w:type="dxa"/>
            <w:tcBorders>
              <w:tl2br w:val="nil"/>
              <w:tr2bl w:val="nil"/>
            </w:tcBorders>
            <w:noWrap w:val="0"/>
            <w:vAlign w:val="top"/>
          </w:tcPr>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立即用干净的温水（不要用热水）洗涤20分钟（掀开眼皮）</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c>
          <w:tcPr>
            <w:tcW w:w="2321" w:type="dxa"/>
            <w:tcBorders>
              <w:tl2br w:val="nil"/>
              <w:tr2bl w:val="nil"/>
            </w:tcBorders>
            <w:noWrap w:val="0"/>
            <w:vAlign w:val="top"/>
          </w:tcPr>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脱掉被沾染的衣服</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用肥皂、水彻底清洗皮肤</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c>
          <w:tcPr>
            <w:tcW w:w="2322" w:type="dxa"/>
            <w:tcBorders>
              <w:tl2br w:val="nil"/>
              <w:tr2bl w:val="nil"/>
            </w:tcBorders>
            <w:noWrap w:val="0"/>
            <w:vAlign w:val="top"/>
          </w:tcPr>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将受伤人员迅速转移至空气新鲜的地方</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若受伤人员已不能呼吸，立即进行人工呼吸</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若受伤人员可进行微弱呼吸，马上提供氧气</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c>
          <w:tcPr>
            <w:tcW w:w="2322" w:type="dxa"/>
            <w:tcBorders>
              <w:tl2br w:val="nil"/>
              <w:tr2bl w:val="nil"/>
            </w:tcBorders>
            <w:noWrap w:val="0"/>
            <w:vAlign w:val="top"/>
          </w:tcPr>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不要令其呕吐，如果神志清醒，给一些牛奶</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如果受伤者开始呕吐，要防止倒呛</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r>
    </w:tbl>
    <w:p>
      <w:pPr>
        <w:pStyle w:val="7"/>
        <w:rPr>
          <w:rFonts w:hint="eastAsia" w:ascii="仿宋" w:hAnsi="仿宋" w:eastAsia="仿宋" w:cs="仿宋"/>
          <w:color w:val="auto"/>
          <w:sz w:val="24"/>
          <w:szCs w:val="24"/>
        </w:rPr>
      </w:pPr>
    </w:p>
    <w:p>
      <w:pPr>
        <w:spacing w:line="480" w:lineRule="exact"/>
        <w:jc w:val="center"/>
        <w:rPr>
          <w:rFonts w:hint="eastAsia" w:ascii="仿宋" w:hAnsi="仿宋" w:eastAsia="仿宋" w:cs="仿宋"/>
          <w:b/>
          <w:sz w:val="28"/>
          <w:szCs w:val="28"/>
        </w:rPr>
      </w:pPr>
      <w:r>
        <w:rPr>
          <w:rFonts w:hint="eastAsia" w:ascii="仿宋" w:hAnsi="仿宋" w:eastAsia="仿宋" w:cs="仿宋"/>
          <w:b/>
          <w:sz w:val="28"/>
          <w:szCs w:val="28"/>
        </w:rPr>
        <w:t>表</w:t>
      </w:r>
      <w:r>
        <w:rPr>
          <w:rFonts w:hint="eastAsia" w:ascii="仿宋" w:hAnsi="仿宋" w:eastAsia="仿宋" w:cs="仿宋"/>
          <w:b/>
          <w:sz w:val="28"/>
          <w:szCs w:val="28"/>
          <w:lang w:val="en-US" w:eastAsia="zh-CN"/>
        </w:rPr>
        <w:t>8</w:t>
      </w:r>
      <w:r>
        <w:rPr>
          <w:rFonts w:hint="eastAsia" w:ascii="仿宋" w:hAnsi="仿宋" w:eastAsia="仿宋" w:cs="仿宋"/>
          <w:b/>
          <w:sz w:val="28"/>
          <w:szCs w:val="28"/>
        </w:rPr>
        <w:t>-</w:t>
      </w:r>
      <w:r>
        <w:rPr>
          <w:rFonts w:hint="eastAsia" w:ascii="仿宋" w:hAnsi="仿宋" w:eastAsia="仿宋" w:cs="仿宋"/>
          <w:b/>
          <w:sz w:val="28"/>
          <w:szCs w:val="28"/>
          <w:lang w:val="en-US" w:eastAsia="zh-CN"/>
        </w:rPr>
        <w:t>3</w:t>
      </w:r>
      <w:r>
        <w:rPr>
          <w:rFonts w:hint="eastAsia" w:ascii="仿宋" w:hAnsi="仿宋" w:eastAsia="仿宋" w:cs="仿宋"/>
          <w:b/>
          <w:sz w:val="28"/>
          <w:szCs w:val="28"/>
        </w:rPr>
        <w:t>.2 安全措施及应急对策（柴油、润滑油、液压油）</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251"/>
        <w:gridCol w:w="2251"/>
        <w:gridCol w:w="2252"/>
        <w:gridCol w:w="225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4642" w:type="dxa"/>
            <w:gridSpan w:val="2"/>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油品名称</w:t>
            </w:r>
          </w:p>
        </w:tc>
        <w:tc>
          <w:tcPr>
            <w:tcW w:w="4644" w:type="dxa"/>
            <w:gridSpan w:val="2"/>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柴油、润滑油、液压油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警告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5"/>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在空气温度较高时可形成蒸气</w:t>
            </w:r>
          </w:p>
          <w:p>
            <w:pPr>
              <w:widowControl w:val="0"/>
              <w:numPr>
                <w:ilvl w:val="0"/>
                <w:numId w:val="5"/>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燃烧时可产生有毒气体</w:t>
            </w:r>
          </w:p>
          <w:p>
            <w:pPr>
              <w:widowControl w:val="0"/>
              <w:numPr>
                <w:ilvl w:val="0"/>
                <w:numId w:val="5"/>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接触到眼睛可产生刺激性</w:t>
            </w:r>
          </w:p>
          <w:p>
            <w:pPr>
              <w:widowControl w:val="0"/>
              <w:numPr>
                <w:ilvl w:val="0"/>
                <w:numId w:val="5"/>
              </w:numPr>
              <w:tabs>
                <w:tab w:val="left" w:pos="318"/>
              </w:tabs>
              <w:spacing w:line="400" w:lineRule="exact"/>
              <w:ind w:hanging="952"/>
              <w:jc w:val="both"/>
              <w:rPr>
                <w:rFonts w:hint="eastAsia" w:ascii="仿宋" w:hAnsi="仿宋" w:eastAsia="仿宋" w:cs="仿宋"/>
                <w:sz w:val="24"/>
                <w:szCs w:val="24"/>
              </w:rPr>
            </w:pPr>
            <w:r>
              <w:rPr>
                <w:rFonts w:hint="eastAsia" w:ascii="仿宋" w:hAnsi="仿宋" w:eastAsia="仿宋" w:cs="仿宋"/>
                <w:sz w:val="24"/>
                <w:szCs w:val="24"/>
              </w:rPr>
              <w:t>吸入蒸气可引起对呼吸道的刺激、头痛、呕吐、意识模糊</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tabs>
                <w:tab w:val="left" w:pos="318"/>
              </w:tabs>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人员防护</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一定穿上防水、防化学腐蚀的工作服、手套、靴子以及护目镜，最好用氰化、氟化橡胶材质的（不要用天然橡胶或氯丁橡胶）</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戴上过滤有机蒸气的防护呼吸罩</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tabs>
                <w:tab w:val="left" w:pos="318"/>
              </w:tabs>
              <w:spacing w:line="400" w:lineRule="exact"/>
              <w:jc w:val="center"/>
              <w:rPr>
                <w:rFonts w:hint="eastAsia" w:ascii="仿宋" w:hAnsi="仿宋" w:eastAsia="仿宋" w:cs="仿宋"/>
                <w:sz w:val="24"/>
                <w:szCs w:val="24"/>
              </w:rPr>
            </w:pPr>
            <w:r>
              <w:rPr>
                <w:rFonts w:hint="eastAsia" w:ascii="仿宋" w:hAnsi="仿宋" w:eastAsia="仿宋" w:cs="仿宋"/>
                <w:b/>
                <w:bCs/>
                <w:sz w:val="24"/>
                <w:szCs w:val="24"/>
              </w:rPr>
              <w:t>预防措施、方法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促使油气蒸发以免发生爆炸</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避免与强氧化剂接触，入硝酸、硫酸、氯气、臭氧、过氧化物</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限制火源</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防止无关人员进入事故现场，必须从上风向接近溢出点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tabs>
                <w:tab w:val="left" w:pos="318"/>
              </w:tabs>
              <w:spacing w:line="400" w:lineRule="exact"/>
              <w:jc w:val="center"/>
              <w:rPr>
                <w:rFonts w:hint="eastAsia" w:ascii="仿宋" w:hAnsi="仿宋" w:eastAsia="仿宋" w:cs="仿宋"/>
                <w:sz w:val="24"/>
                <w:szCs w:val="24"/>
              </w:rPr>
            </w:pPr>
            <w:r>
              <w:rPr>
                <w:rFonts w:hint="eastAsia" w:ascii="仿宋" w:hAnsi="仿宋" w:eastAsia="仿宋" w:cs="仿宋"/>
                <w:sz w:val="24"/>
                <w:szCs w:val="24"/>
              </w:rPr>
              <w:t>火灾事故应急措施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9286" w:type="dxa"/>
            <w:gridSpan w:val="4"/>
            <w:tcBorders>
              <w:tl2br w:val="nil"/>
              <w:tr2bl w:val="nil"/>
            </w:tcBorders>
            <w:noWrap w:val="0"/>
            <w:vAlign w:val="top"/>
          </w:tcPr>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仅仅在安全条件允许的条件下方可采取行动</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自戴氧气瓶、切断燃料供给，采用CO</w:t>
            </w:r>
            <w:r>
              <w:rPr>
                <w:rFonts w:hint="eastAsia" w:ascii="仿宋" w:hAnsi="仿宋" w:eastAsia="仿宋" w:cs="仿宋"/>
                <w:sz w:val="24"/>
                <w:szCs w:val="24"/>
                <w:vertAlign w:val="subscript"/>
              </w:rPr>
              <w:t>2</w:t>
            </w:r>
            <w:r>
              <w:rPr>
                <w:rFonts w:hint="eastAsia" w:ascii="仿宋" w:hAnsi="仿宋" w:eastAsia="仿宋" w:cs="仿宋"/>
                <w:sz w:val="24"/>
                <w:szCs w:val="24"/>
              </w:rPr>
              <w:t>、干粉、泡沫灭火器，用水冷却可能发生火灾的容器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9286" w:type="dxa"/>
            <w:gridSpan w:val="4"/>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急救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321"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眼睛</w:t>
            </w:r>
          </w:p>
        </w:tc>
        <w:tc>
          <w:tcPr>
            <w:tcW w:w="2321"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皮肤</w:t>
            </w:r>
          </w:p>
        </w:tc>
        <w:tc>
          <w:tcPr>
            <w:tcW w:w="2322"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呼吸</w:t>
            </w:r>
          </w:p>
        </w:tc>
        <w:tc>
          <w:tcPr>
            <w:tcW w:w="2322" w:type="dxa"/>
            <w:tcBorders>
              <w:tl2br w:val="nil"/>
              <w:tr2bl w:val="nil"/>
            </w:tcBorders>
            <w:noWrap w:val="0"/>
            <w:vAlign w:val="top"/>
          </w:tcPr>
          <w:p>
            <w:pPr>
              <w:widowControl w:val="0"/>
              <w:spacing w:line="400" w:lineRule="exact"/>
              <w:jc w:val="center"/>
              <w:rPr>
                <w:rFonts w:hint="eastAsia" w:ascii="仿宋" w:hAnsi="仿宋" w:eastAsia="仿宋" w:cs="仿宋"/>
                <w:b/>
                <w:sz w:val="24"/>
                <w:szCs w:val="24"/>
              </w:rPr>
            </w:pPr>
            <w:r>
              <w:rPr>
                <w:rFonts w:hint="eastAsia" w:ascii="仿宋" w:hAnsi="仿宋" w:eastAsia="仿宋" w:cs="仿宋"/>
                <w:b/>
                <w:sz w:val="24"/>
                <w:szCs w:val="24"/>
              </w:rPr>
              <w:t>吸入液体</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2321" w:type="dxa"/>
            <w:tcBorders>
              <w:tl2br w:val="nil"/>
              <w:tr2bl w:val="nil"/>
            </w:tcBorders>
            <w:noWrap w:val="0"/>
            <w:vAlign w:val="top"/>
          </w:tcPr>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立即用干净的温水（不要用热水）洗涤20分钟（掀开眼皮）</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c>
          <w:tcPr>
            <w:tcW w:w="2321" w:type="dxa"/>
            <w:tcBorders>
              <w:tl2br w:val="nil"/>
              <w:tr2bl w:val="nil"/>
            </w:tcBorders>
            <w:noWrap w:val="0"/>
            <w:vAlign w:val="top"/>
          </w:tcPr>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脱掉被沾染的衣服</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用肥皂、水彻底清洗皮肤</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c>
          <w:tcPr>
            <w:tcW w:w="2322" w:type="dxa"/>
            <w:tcBorders>
              <w:tl2br w:val="nil"/>
              <w:tr2bl w:val="nil"/>
            </w:tcBorders>
            <w:noWrap w:val="0"/>
            <w:vAlign w:val="top"/>
          </w:tcPr>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将受伤人员迅速转移至空气新鲜的地方</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若受伤人员已不能呼吸，立即进行人工呼吸</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若受伤人员可进行微弱呼吸，马上提供氧气</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c>
          <w:tcPr>
            <w:tcW w:w="2322" w:type="dxa"/>
            <w:tcBorders>
              <w:tl2br w:val="nil"/>
              <w:tr2bl w:val="nil"/>
            </w:tcBorders>
            <w:noWrap w:val="0"/>
            <w:vAlign w:val="top"/>
          </w:tcPr>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不要令其呕吐，如果神志清醒，给一些牛奶</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如果受伤者开始呕吐，要防止倒呛</w:t>
            </w:r>
          </w:p>
          <w:p>
            <w:pPr>
              <w:widowControl w:val="0"/>
              <w:numPr>
                <w:ilvl w:val="0"/>
                <w:numId w:val="5"/>
              </w:numPr>
              <w:tabs>
                <w:tab w:val="left" w:pos="318"/>
              </w:tabs>
              <w:spacing w:line="400" w:lineRule="exact"/>
              <w:ind w:left="284" w:hanging="250"/>
              <w:jc w:val="both"/>
              <w:rPr>
                <w:rFonts w:hint="eastAsia" w:ascii="仿宋" w:hAnsi="仿宋" w:eastAsia="仿宋" w:cs="仿宋"/>
                <w:sz w:val="24"/>
                <w:szCs w:val="24"/>
              </w:rPr>
            </w:pPr>
            <w:r>
              <w:rPr>
                <w:rFonts w:hint="eastAsia" w:ascii="仿宋" w:hAnsi="仿宋" w:eastAsia="仿宋" w:cs="仿宋"/>
                <w:sz w:val="24"/>
                <w:szCs w:val="24"/>
              </w:rPr>
              <w:t>迅速进行药物治疗</w:t>
            </w:r>
          </w:p>
        </w:tc>
      </w:tr>
    </w:tbl>
    <w:p>
      <w:pPr>
        <w:pStyle w:val="7"/>
        <w:rPr>
          <w:rFonts w:hint="eastAsia" w:ascii="仿宋" w:hAnsi="仿宋" w:eastAsia="仿宋" w:cs="仿宋"/>
          <w:color w:val="auto"/>
          <w:sz w:val="28"/>
          <w:szCs w:val="28"/>
        </w:rPr>
      </w:pPr>
    </w:p>
    <w:p>
      <w:pPr>
        <w:pStyle w:val="7"/>
        <w:spacing w:before="10"/>
        <w:rPr>
          <w:rFonts w:hint="eastAsia" w:ascii="仿宋" w:hAnsi="仿宋" w:eastAsia="仿宋" w:cs="仿宋"/>
          <w:color w:val="auto"/>
          <w:sz w:val="28"/>
          <w:szCs w:val="28"/>
        </w:rPr>
      </w:pPr>
    </w:p>
    <w:p>
      <w:pPr>
        <w:pStyle w:val="25"/>
        <w:keepNext/>
        <w:keepLines w:val="0"/>
        <w:pageBreakBefore w:val="0"/>
        <w:widowControl/>
        <w:kinsoku/>
        <w:wordWrap/>
        <w:overflowPunct/>
        <w:topLinePunct w:val="0"/>
        <w:autoSpaceDE/>
        <w:autoSpaceDN/>
        <w:bidi w:val="0"/>
        <w:adjustRightInd/>
        <w:snapToGrid/>
        <w:spacing w:before="157" w:beforeLines="50" w:after="157" w:afterLines="50" w:line="360" w:lineRule="auto"/>
        <w:ind w:left="0" w:leftChars="0" w:firstLine="562" w:firstLineChars="200"/>
        <w:jc w:val="both"/>
        <w:textAlignment w:val="auto"/>
        <w:outlineLvl w:val="9"/>
        <w:rPr>
          <w:rFonts w:hint="eastAsia" w:ascii="仿宋" w:hAnsi="仿宋" w:eastAsia="仿宋" w:cs="仿宋"/>
          <w:b/>
          <w:bCs/>
          <w:sz w:val="28"/>
          <w:szCs w:val="28"/>
        </w:rPr>
      </w:pPr>
      <w:bookmarkStart w:id="101" w:name="_Toc3262"/>
      <w:bookmarkStart w:id="102" w:name="_Toc25063"/>
    </w:p>
    <w:p>
      <w:pPr>
        <w:pStyle w:val="25"/>
        <w:keepNext/>
        <w:keepLines w:val="0"/>
        <w:pageBreakBefore w:val="0"/>
        <w:widowControl/>
        <w:kinsoku/>
        <w:wordWrap/>
        <w:overflowPunct/>
        <w:topLinePunct w:val="0"/>
        <w:autoSpaceDE/>
        <w:autoSpaceDN/>
        <w:bidi w:val="0"/>
        <w:adjustRightInd/>
        <w:snapToGrid/>
        <w:spacing w:before="157" w:beforeLines="50" w:after="157" w:afterLines="50" w:line="360" w:lineRule="auto"/>
        <w:ind w:left="0" w:leftChars="0" w:firstLine="0" w:firstLineChars="0"/>
        <w:jc w:val="both"/>
        <w:textAlignment w:val="auto"/>
        <w:outlineLvl w:val="9"/>
        <w:rPr>
          <w:rFonts w:hint="eastAsia" w:ascii="仿宋" w:hAnsi="仿宋" w:eastAsia="仿宋" w:cs="仿宋"/>
          <w:b/>
          <w:bCs/>
          <w:sz w:val="28"/>
          <w:szCs w:val="28"/>
        </w:rPr>
      </w:pPr>
    </w:p>
    <w:p>
      <w:pPr>
        <w:rPr>
          <w:rFonts w:hint="eastAsia" w:ascii="仿宋" w:hAnsi="仿宋" w:eastAsia="仿宋" w:cs="仿宋"/>
          <w:b/>
          <w:bCs/>
          <w:sz w:val="28"/>
          <w:szCs w:val="28"/>
        </w:rPr>
      </w:pPr>
    </w:p>
    <w:p>
      <w:pPr>
        <w:rPr>
          <w:rFonts w:hint="eastAsia" w:ascii="仿宋" w:hAnsi="仿宋" w:eastAsia="仿宋" w:cs="仿宋"/>
          <w:b/>
          <w:bCs/>
          <w:sz w:val="28"/>
          <w:szCs w:val="28"/>
        </w:rPr>
      </w:pPr>
    </w:p>
    <w:p>
      <w:pPr>
        <w:spacing w:line="360" w:lineRule="auto"/>
        <w:jc w:val="both"/>
        <w:rPr>
          <w:rFonts w:hint="eastAsia" w:ascii="仿宋" w:hAnsi="仿宋" w:eastAsia="仿宋" w:cs="仿宋"/>
          <w:sz w:val="28"/>
          <w:szCs w:val="28"/>
        </w:rPr>
      </w:pPr>
    </w:p>
    <w:p>
      <w:pPr>
        <w:spacing w:line="360" w:lineRule="auto"/>
        <w:jc w:val="both"/>
        <w:rPr>
          <w:rFonts w:hint="eastAsia" w:ascii="仿宋" w:hAnsi="仿宋" w:eastAsia="仿宋" w:cs="仿宋"/>
          <w:sz w:val="28"/>
          <w:szCs w:val="28"/>
        </w:rPr>
      </w:pPr>
    </w:p>
    <w:p>
      <w:pPr>
        <w:spacing w:line="360" w:lineRule="auto"/>
        <w:ind w:firstLine="562" w:firstLineChars="200"/>
        <w:jc w:val="both"/>
        <w:rPr>
          <w:rFonts w:hint="eastAsia" w:ascii="仿宋" w:hAnsi="仿宋" w:eastAsia="仿宋" w:cs="仿宋"/>
          <w:b/>
          <w:bCs/>
          <w:sz w:val="28"/>
          <w:szCs w:val="28"/>
        </w:rPr>
      </w:pPr>
    </w:p>
    <w:p>
      <w:pPr>
        <w:spacing w:line="360" w:lineRule="auto"/>
        <w:jc w:val="both"/>
        <w:rPr>
          <w:rFonts w:hint="eastAsia" w:ascii="仿宋" w:hAnsi="仿宋" w:eastAsia="仿宋" w:cs="仿宋"/>
          <w:b/>
          <w:bCs/>
          <w:sz w:val="28"/>
          <w:szCs w:val="28"/>
        </w:rPr>
      </w:pPr>
    </w:p>
    <w:p>
      <w:pPr>
        <w:spacing w:line="360" w:lineRule="auto"/>
        <w:ind w:firstLine="562" w:firstLineChars="200"/>
        <w:jc w:val="both"/>
        <w:rPr>
          <w:rFonts w:hint="eastAsia" w:ascii="仿宋" w:hAnsi="仿宋" w:eastAsia="仿宋" w:cs="仿宋"/>
          <w:b/>
          <w:bCs/>
          <w:sz w:val="28"/>
          <w:szCs w:val="28"/>
        </w:rPr>
      </w:pPr>
      <w:r>
        <w:rPr>
          <w:rFonts w:hint="eastAsia" w:ascii="仿宋" w:hAnsi="仿宋" w:eastAsia="仿宋" w:cs="仿宋"/>
          <w:b/>
          <w:bCs/>
          <w:sz w:val="28"/>
          <w:szCs w:val="28"/>
          <w:lang w:val="en-US" w:eastAsia="zh-CN"/>
        </w:rPr>
        <w:t>9</w:t>
      </w:r>
      <w:r>
        <w:rPr>
          <w:rFonts w:hint="eastAsia" w:ascii="仿宋" w:hAnsi="仿宋" w:eastAsia="仿宋" w:cs="仿宋"/>
          <w:b/>
          <w:bCs/>
          <w:sz w:val="28"/>
          <w:szCs w:val="28"/>
          <w:lang w:eastAsia="zh-CN"/>
        </w:rPr>
        <w:t>、</w:t>
      </w:r>
      <w:r>
        <w:rPr>
          <w:rFonts w:hint="eastAsia" w:ascii="仿宋" w:hAnsi="仿宋" w:eastAsia="仿宋" w:cs="仿宋"/>
          <w:b/>
          <w:bCs/>
          <w:sz w:val="28"/>
          <w:szCs w:val="28"/>
        </w:rPr>
        <w:t>发放范围</w:t>
      </w:r>
    </w:p>
    <w:bookmarkEnd w:id="101"/>
    <w:bookmarkEnd w:id="102"/>
    <w:p>
      <w:pPr>
        <w:spacing w:line="360" w:lineRule="auto"/>
        <w:ind w:firstLine="560" w:firstLineChars="200"/>
        <w:jc w:val="both"/>
        <w:rPr>
          <w:rFonts w:hint="eastAsia" w:ascii="仿宋" w:hAnsi="仿宋" w:eastAsia="仿宋" w:cs="仿宋"/>
          <w:sz w:val="28"/>
          <w:szCs w:val="28"/>
        </w:rPr>
      </w:pPr>
      <w:r>
        <w:rPr>
          <w:rFonts w:hint="eastAsia" w:ascii="仿宋" w:hAnsi="仿宋" w:eastAsia="仿宋" w:cs="仿宋"/>
          <w:sz w:val="28"/>
          <w:szCs w:val="28"/>
        </w:rPr>
        <w:t>本作业方案为公司受控文件，发放范围包括公司领导、各部门。</w:t>
      </w:r>
    </w:p>
    <w:p>
      <w:pPr>
        <w:spacing w:line="360" w:lineRule="auto"/>
        <w:ind w:firstLine="562" w:firstLineChars="200"/>
        <w:jc w:val="both"/>
        <w:rPr>
          <w:rFonts w:hint="eastAsia" w:ascii="仿宋" w:hAnsi="仿宋" w:eastAsia="仿宋" w:cs="仿宋"/>
          <w:b/>
          <w:bCs/>
          <w:sz w:val="28"/>
          <w:szCs w:val="28"/>
        </w:rPr>
      </w:pPr>
      <w:bookmarkStart w:id="103" w:name="_Toc210"/>
      <w:bookmarkStart w:id="104" w:name="_Toc28556"/>
      <w:r>
        <w:rPr>
          <w:rFonts w:hint="eastAsia" w:ascii="仿宋" w:hAnsi="仿宋" w:eastAsia="仿宋" w:cs="仿宋"/>
          <w:b/>
          <w:bCs/>
          <w:sz w:val="28"/>
          <w:szCs w:val="28"/>
          <w:lang w:val="en-US" w:eastAsia="zh-CN"/>
        </w:rPr>
        <w:t>10</w:t>
      </w:r>
      <w:r>
        <w:rPr>
          <w:rFonts w:hint="eastAsia" w:ascii="仿宋" w:hAnsi="仿宋" w:eastAsia="仿宋" w:cs="仿宋"/>
          <w:b/>
          <w:bCs/>
          <w:sz w:val="28"/>
          <w:szCs w:val="28"/>
          <w:lang w:eastAsia="zh-CN"/>
        </w:rPr>
        <w:t>、</w:t>
      </w:r>
      <w:r>
        <w:rPr>
          <w:rFonts w:hint="eastAsia" w:ascii="仿宋" w:hAnsi="仿宋" w:eastAsia="仿宋" w:cs="仿宋"/>
          <w:b/>
          <w:bCs/>
          <w:sz w:val="28"/>
          <w:szCs w:val="28"/>
        </w:rPr>
        <w:t>附表和附件</w:t>
      </w:r>
      <w:bookmarkEnd w:id="103"/>
      <w:bookmarkEnd w:id="104"/>
    </w:p>
    <w:p>
      <w:pPr>
        <w:spacing w:line="360" w:lineRule="auto"/>
        <w:ind w:firstLine="560" w:firstLineChars="200"/>
        <w:jc w:val="both"/>
        <w:outlineLvl w:val="0"/>
        <w:rPr>
          <w:rFonts w:hint="eastAsia" w:ascii="仿宋" w:hAnsi="仿宋" w:eastAsia="仿宋" w:cs="仿宋"/>
          <w:sz w:val="28"/>
          <w:szCs w:val="28"/>
        </w:rPr>
      </w:pPr>
      <w:bookmarkStart w:id="105" w:name="_Toc14546"/>
      <w:r>
        <w:rPr>
          <w:rFonts w:hint="eastAsia" w:ascii="仿宋" w:hAnsi="仿宋" w:eastAsia="仿宋" w:cs="仿宋"/>
          <w:sz w:val="28"/>
          <w:szCs w:val="28"/>
        </w:rPr>
        <w:t>附表1</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污染清除船靠船作业安全检查表</w:t>
      </w:r>
      <w:bookmarkEnd w:id="105"/>
    </w:p>
    <w:p>
      <w:pPr>
        <w:spacing w:line="360" w:lineRule="auto"/>
        <w:ind w:firstLine="560" w:firstLineChars="200"/>
        <w:jc w:val="both"/>
        <w:outlineLvl w:val="0"/>
        <w:rPr>
          <w:rFonts w:hint="eastAsia" w:ascii="仿宋" w:hAnsi="仿宋" w:eastAsia="仿宋" w:cs="仿宋"/>
          <w:sz w:val="28"/>
          <w:szCs w:val="28"/>
        </w:rPr>
      </w:pPr>
      <w:bookmarkStart w:id="106" w:name="_Toc10121"/>
      <w:r>
        <w:rPr>
          <w:rFonts w:hint="eastAsia" w:ascii="仿宋" w:hAnsi="仿宋" w:eastAsia="仿宋" w:cs="仿宋"/>
          <w:sz w:val="28"/>
          <w:szCs w:val="28"/>
        </w:rPr>
        <w:t>附表2</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围控失效报告信息表</w:t>
      </w:r>
      <w:bookmarkEnd w:id="106"/>
    </w:p>
    <w:p>
      <w:pPr>
        <w:spacing w:line="360" w:lineRule="auto"/>
        <w:ind w:firstLine="560" w:firstLineChars="200"/>
        <w:jc w:val="both"/>
        <w:outlineLvl w:val="0"/>
        <w:rPr>
          <w:rFonts w:hint="eastAsia" w:ascii="仿宋" w:hAnsi="仿宋" w:eastAsia="仿宋" w:cs="仿宋"/>
          <w:b w:val="0"/>
          <w:bCs w:val="0"/>
          <w:sz w:val="28"/>
          <w:szCs w:val="28"/>
        </w:rPr>
      </w:pPr>
      <w:bookmarkStart w:id="107" w:name="_Toc18830"/>
      <w:r>
        <w:rPr>
          <w:rFonts w:hint="eastAsia" w:ascii="仿宋" w:hAnsi="仿宋" w:eastAsia="仿宋" w:cs="仿宋"/>
          <w:sz w:val="28"/>
          <w:szCs w:val="28"/>
          <w:lang w:eastAsia="zh-CN"/>
        </w:rPr>
        <w:t>附件</w:t>
      </w:r>
      <w:r>
        <w:rPr>
          <w:rFonts w:hint="eastAsia" w:ascii="仿宋" w:hAnsi="仿宋" w:eastAsia="仿宋" w:cs="仿宋"/>
          <w:sz w:val="28"/>
          <w:szCs w:val="28"/>
          <w:lang w:val="en-US" w:eastAsia="zh-CN"/>
        </w:rPr>
        <w:t xml:space="preserve">1 </w:t>
      </w:r>
      <w:r>
        <w:rPr>
          <w:rFonts w:hint="eastAsia" w:ascii="仿宋" w:hAnsi="仿宋" w:eastAsia="仿宋" w:cs="仿宋"/>
          <w:b w:val="0"/>
          <w:bCs w:val="0"/>
          <w:color w:val="auto"/>
          <w:sz w:val="28"/>
          <w:szCs w:val="28"/>
          <w:lang w:val="en-US" w:eastAsia="zh-CN"/>
        </w:rPr>
        <w:t>浙江省近岸海域功能区划示意图</w:t>
      </w:r>
      <w:bookmarkEnd w:id="107"/>
    </w:p>
    <w:p>
      <w:pPr>
        <w:spacing w:line="360" w:lineRule="auto"/>
        <w:ind w:firstLine="560" w:firstLineChars="200"/>
        <w:jc w:val="both"/>
        <w:outlineLvl w:val="0"/>
        <w:rPr>
          <w:rFonts w:hint="eastAsia" w:ascii="仿宋" w:hAnsi="仿宋" w:eastAsia="仿宋" w:cs="仿宋"/>
          <w:sz w:val="28"/>
          <w:szCs w:val="28"/>
        </w:rPr>
      </w:pPr>
      <w:bookmarkStart w:id="108" w:name="_Toc9911"/>
      <w:r>
        <w:rPr>
          <w:rFonts w:hint="eastAsia" w:ascii="仿宋" w:hAnsi="仿宋" w:eastAsia="仿宋" w:cs="仿宋"/>
          <w:sz w:val="28"/>
          <w:szCs w:val="28"/>
          <w:lang w:eastAsia="zh-CN"/>
        </w:rPr>
        <w:t>附件</w:t>
      </w:r>
      <w:r>
        <w:rPr>
          <w:rFonts w:hint="eastAsia" w:ascii="仿宋" w:hAnsi="仿宋" w:eastAsia="仿宋" w:cs="仿宋"/>
          <w:sz w:val="28"/>
          <w:szCs w:val="28"/>
          <w:lang w:val="en-US" w:eastAsia="zh-CN"/>
        </w:rPr>
        <w:t xml:space="preserve">2 </w:t>
      </w:r>
      <w:r>
        <w:rPr>
          <w:rFonts w:hint="eastAsia" w:ascii="仿宋" w:hAnsi="仿宋" w:eastAsia="仿宋" w:cs="仿宋"/>
          <w:sz w:val="28"/>
          <w:szCs w:val="28"/>
        </w:rPr>
        <w:t>台州市海洋功能区划图</w:t>
      </w:r>
      <w:bookmarkEnd w:id="108"/>
    </w:p>
    <w:p>
      <w:pPr>
        <w:spacing w:line="360" w:lineRule="auto"/>
        <w:jc w:val="both"/>
        <w:rPr>
          <w:rFonts w:hint="eastAsia" w:ascii="仿宋" w:hAnsi="仿宋" w:eastAsia="仿宋" w:cs="仿宋"/>
          <w:sz w:val="28"/>
          <w:szCs w:val="28"/>
        </w:rPr>
        <w:sectPr>
          <w:pgSz w:w="11906" w:h="16838"/>
          <w:pgMar w:top="1247" w:right="1418" w:bottom="1247" w:left="1418" w:header="851" w:footer="992" w:gutter="0"/>
          <w:pgBorders w:offsetFrom="page">
            <w:top w:val="none" w:sz="0" w:space="0"/>
            <w:left w:val="none" w:sz="0" w:space="0"/>
            <w:bottom w:val="none" w:sz="0" w:space="0"/>
            <w:right w:val="none" w:sz="0" w:space="0"/>
          </w:pgBorders>
          <w:pgNumType w:fmt="decimal"/>
          <w:cols w:space="720" w:num="1"/>
          <w:docGrid w:linePitch="312" w:charSpace="0"/>
        </w:sectPr>
      </w:pPr>
    </w:p>
    <w:p>
      <w:pPr>
        <w:pStyle w:val="24"/>
        <w:keepNext/>
        <w:keepLines w:val="0"/>
        <w:pageBreakBefore/>
        <w:widowControl/>
        <w:kinsoku/>
        <w:wordWrap/>
        <w:overflowPunct/>
        <w:topLinePunct w:val="0"/>
        <w:autoSpaceDE/>
        <w:autoSpaceDN/>
        <w:bidi w:val="0"/>
        <w:adjustRightInd/>
        <w:snapToGrid/>
        <w:spacing w:before="164" w:beforeLines="50" w:after="164" w:afterLines="50" w:line="500" w:lineRule="exact"/>
        <w:ind w:left="0" w:leftChars="0" w:firstLine="0" w:firstLineChars="0"/>
        <w:textAlignment w:val="auto"/>
        <w:outlineLvl w:val="0"/>
        <w:rPr>
          <w:rFonts w:hint="eastAsia" w:ascii="仿宋" w:hAnsi="仿宋" w:eastAsia="仿宋" w:cs="仿宋"/>
          <w:b/>
          <w:bCs/>
          <w:iCs/>
          <w:sz w:val="28"/>
          <w:szCs w:val="28"/>
        </w:rPr>
      </w:pPr>
      <w:bookmarkStart w:id="109" w:name="_Toc30301"/>
      <w:bookmarkStart w:id="110" w:name="_Toc23680"/>
      <w:bookmarkStart w:id="111" w:name="_Toc20883"/>
      <w:r>
        <w:rPr>
          <w:rFonts w:hint="eastAsia" w:ascii="仿宋" w:hAnsi="仿宋" w:eastAsia="仿宋" w:cs="仿宋"/>
          <w:b/>
          <w:bCs/>
          <w:iCs/>
          <w:sz w:val="28"/>
          <w:szCs w:val="28"/>
        </w:rPr>
        <w:t>附表1</w:t>
      </w:r>
      <w:r>
        <w:rPr>
          <w:rFonts w:hint="eastAsia" w:ascii="仿宋" w:hAnsi="仿宋" w:eastAsia="仿宋" w:cs="仿宋"/>
          <w:b/>
          <w:bCs/>
          <w:iCs/>
          <w:sz w:val="28"/>
          <w:szCs w:val="28"/>
          <w:lang w:val="en-US" w:eastAsia="zh-CN"/>
        </w:rPr>
        <w:t xml:space="preserve"> </w:t>
      </w:r>
      <w:r>
        <w:rPr>
          <w:rFonts w:hint="eastAsia" w:ascii="仿宋" w:hAnsi="仿宋" w:eastAsia="仿宋" w:cs="仿宋"/>
          <w:b/>
          <w:bCs/>
          <w:iCs/>
          <w:sz w:val="28"/>
          <w:szCs w:val="28"/>
        </w:rPr>
        <w:t>污染清除船靠船作业安全检查表</w:t>
      </w:r>
      <w:bookmarkEnd w:id="109"/>
      <w:bookmarkEnd w:id="110"/>
      <w:bookmarkEnd w:id="111"/>
    </w:p>
    <w:p>
      <w:pPr>
        <w:jc w:val="center"/>
        <w:rPr>
          <w:rFonts w:hint="eastAsia" w:ascii="仿宋" w:hAnsi="仿宋" w:eastAsia="仿宋" w:cs="仿宋"/>
          <w:b/>
          <w:sz w:val="24"/>
          <w:szCs w:val="24"/>
        </w:rPr>
      </w:pPr>
    </w:p>
    <w:p>
      <w:pPr>
        <w:keepNext w:val="0"/>
        <w:keepLines w:val="0"/>
        <w:pageBreakBefore w:val="0"/>
        <w:widowControl/>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rPr>
      </w:pPr>
      <w:r>
        <w:rPr>
          <w:rFonts w:hint="eastAsia" w:ascii="仿宋" w:hAnsi="仿宋" w:eastAsia="仿宋" w:cs="仿宋"/>
          <w:sz w:val="24"/>
          <w:szCs w:val="24"/>
        </w:rPr>
        <w:t>日期：     年   月   日</w:t>
      </w:r>
    </w:p>
    <w:tbl>
      <w:tblPr>
        <w:tblStyle w:val="13"/>
        <w:tblW w:w="485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250"/>
        <w:gridCol w:w="2251"/>
        <w:gridCol w:w="2251"/>
        <w:gridCol w:w="776"/>
        <w:gridCol w:w="766"/>
        <w:gridCol w:w="71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321"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事故船船名</w:t>
            </w: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接收船船名</w:t>
            </w:r>
          </w:p>
        </w:tc>
        <w:tc>
          <w:tcPr>
            <w:tcW w:w="2321" w:type="dxa"/>
            <w:gridSpan w:val="3"/>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2" w:hRule="exact"/>
          <w:jc w:val="center"/>
        </w:trPr>
        <w:tc>
          <w:tcPr>
            <w:tcW w:w="2321"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污染物种类</w:t>
            </w: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计划转载数量</w:t>
            </w:r>
          </w:p>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（m³或t）</w:t>
            </w:r>
          </w:p>
        </w:tc>
        <w:tc>
          <w:tcPr>
            <w:tcW w:w="2321" w:type="dxa"/>
            <w:gridSpan w:val="3"/>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321"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作业时间</w:t>
            </w: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作业地点</w:t>
            </w:r>
          </w:p>
        </w:tc>
        <w:tc>
          <w:tcPr>
            <w:tcW w:w="2321" w:type="dxa"/>
            <w:gridSpan w:val="3"/>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2321"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作业地点风力</w:t>
            </w: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c>
          <w:tcPr>
            <w:tcW w:w="2322"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作业地点海浪</w:t>
            </w:r>
          </w:p>
        </w:tc>
        <w:tc>
          <w:tcPr>
            <w:tcW w:w="2321" w:type="dxa"/>
            <w:gridSpan w:val="3"/>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事故船舶丧失自卸能力</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两船作业管路完好</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确认接好后，结合处放置防污容器</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正确设置管路、阀门</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甲板排水孔全部堵塞</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双方约定的联络方法和信号（               ）</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双方安排专门值守人员</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操作程序、步骤已经商定</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备妥应急防污设备、器材</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exact"/>
          <w:jc w:val="center"/>
        </w:trPr>
        <w:tc>
          <w:tcPr>
            <w:tcW w:w="7767" w:type="dxa"/>
            <w:gridSpan w:val="4"/>
            <w:tcBorders>
              <w:tl2br w:val="nil"/>
              <w:tr2bl w:val="nil"/>
            </w:tcBorders>
            <w:noWrap w:val="0"/>
            <w:vAlign w:val="center"/>
          </w:tcPr>
          <w:p>
            <w:pPr>
              <w:widowControl w:val="0"/>
              <w:spacing w:line="240" w:lineRule="auto"/>
              <w:jc w:val="both"/>
              <w:rPr>
                <w:rFonts w:hint="eastAsia" w:ascii="仿宋" w:hAnsi="仿宋" w:eastAsia="仿宋" w:cs="仿宋"/>
                <w:sz w:val="24"/>
                <w:szCs w:val="24"/>
              </w:rPr>
            </w:pPr>
            <w:r>
              <w:rPr>
                <w:rFonts w:hint="eastAsia" w:ascii="仿宋" w:hAnsi="仿宋" w:eastAsia="仿宋" w:cs="仿宋"/>
                <w:sz w:val="24"/>
                <w:szCs w:val="24"/>
              </w:rPr>
              <w:t>事故船提供污染物安全数据（MSDS）</w:t>
            </w:r>
          </w:p>
        </w:tc>
        <w:tc>
          <w:tcPr>
            <w:tcW w:w="784"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是</w:t>
            </w:r>
          </w:p>
        </w:tc>
        <w:tc>
          <w:tcPr>
            <w:tcW w:w="735" w:type="dxa"/>
            <w:tcBorders>
              <w:tl2br w:val="nil"/>
              <w:tr2bl w:val="nil"/>
            </w:tcBorders>
            <w:noWrap w:val="0"/>
            <w:vAlign w:val="center"/>
          </w:tcPr>
          <w:p>
            <w:pPr>
              <w:widowControl w:val="0"/>
              <w:spacing w:line="240" w:lineRule="auto"/>
              <w:jc w:val="center"/>
              <w:rPr>
                <w:rFonts w:hint="eastAsia" w:ascii="仿宋" w:hAnsi="仿宋" w:eastAsia="仿宋" w:cs="仿宋"/>
                <w:sz w:val="24"/>
                <w:szCs w:val="24"/>
              </w:rPr>
            </w:pPr>
            <w:r>
              <w:rPr>
                <w:rFonts w:hint="eastAsia" w:ascii="仿宋" w:hAnsi="仿宋" w:eastAsia="仿宋" w:cs="仿宋"/>
                <w:sz w:val="24"/>
                <w:szCs w:val="24"/>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71" w:hRule="atLeast"/>
          <w:jc w:val="center"/>
        </w:trPr>
        <w:tc>
          <w:tcPr>
            <w:tcW w:w="9286" w:type="dxa"/>
            <w:gridSpan w:val="6"/>
            <w:tcBorders>
              <w:tl2br w:val="nil"/>
              <w:tr2bl w:val="nil"/>
            </w:tcBorders>
            <w:noWrap w:val="0"/>
            <w:vAlign w:val="top"/>
          </w:tcPr>
          <w:p>
            <w:pPr>
              <w:keepNext w:val="0"/>
              <w:keepLines w:val="0"/>
              <w:pageBreakBefore w:val="0"/>
              <w:widowControl w:val="0"/>
              <w:kinsoku/>
              <w:wordWrap/>
              <w:overflowPunct/>
              <w:topLinePunct w:val="0"/>
              <w:autoSpaceDE/>
              <w:autoSpaceDN/>
              <w:bidi w:val="0"/>
              <w:adjustRightInd/>
              <w:snapToGrid/>
              <w:spacing w:before="95" w:beforeLines="30" w:line="240" w:lineRule="auto"/>
              <w:jc w:val="both"/>
              <w:textAlignment w:val="auto"/>
              <w:rPr>
                <w:rFonts w:hint="eastAsia" w:ascii="仿宋" w:hAnsi="仿宋" w:eastAsia="仿宋" w:cs="仿宋"/>
                <w:sz w:val="24"/>
                <w:szCs w:val="24"/>
              </w:rPr>
            </w:pPr>
            <w:r>
              <w:rPr>
                <w:rFonts w:hint="eastAsia" w:ascii="仿宋" w:hAnsi="仿宋" w:eastAsia="仿宋" w:cs="仿宋"/>
                <w:sz w:val="24"/>
                <w:szCs w:val="24"/>
              </w:rPr>
              <w:t>其他：</w:t>
            </w: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p>
            <w:pPr>
              <w:widowControl w:val="0"/>
              <w:spacing w:line="240" w:lineRule="auto"/>
              <w:jc w:val="both"/>
              <w:rPr>
                <w:rFonts w:hint="eastAsia" w:ascii="仿宋" w:hAnsi="仿宋" w:eastAsia="仿宋" w:cs="仿宋"/>
                <w:sz w:val="24"/>
                <w:szCs w:val="24"/>
              </w:rPr>
            </w:pPr>
          </w:p>
        </w:tc>
      </w:tr>
    </w:tbl>
    <w:p>
      <w:pPr>
        <w:keepNext w:val="0"/>
        <w:keepLines w:val="0"/>
        <w:pageBreakBefore w:val="0"/>
        <w:widowControl/>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rPr>
      </w:pPr>
      <w:r>
        <w:rPr>
          <w:rFonts w:hint="eastAsia" w:ascii="仿宋" w:hAnsi="仿宋" w:eastAsia="仿宋" w:cs="仿宋"/>
          <w:sz w:val="24"/>
          <w:szCs w:val="24"/>
        </w:rPr>
        <w:t>事故船负责人（签字）：</w:t>
      </w:r>
    </w:p>
    <w:p>
      <w:pPr>
        <w:keepNext w:val="0"/>
        <w:keepLines w:val="0"/>
        <w:pageBreakBefore w:val="0"/>
        <w:widowControl/>
        <w:kinsoku/>
        <w:wordWrap/>
        <w:overflowPunct/>
        <w:topLinePunct w:val="0"/>
        <w:autoSpaceDE/>
        <w:autoSpaceDN/>
        <w:bidi w:val="0"/>
        <w:adjustRightInd/>
        <w:snapToGrid/>
        <w:spacing w:line="500" w:lineRule="exact"/>
        <w:textAlignment w:val="auto"/>
        <w:rPr>
          <w:rFonts w:hint="default" w:ascii="仿宋" w:hAnsi="仿宋" w:eastAsia="仿宋" w:cs="仿宋"/>
          <w:sz w:val="24"/>
          <w:szCs w:val="24"/>
          <w:lang w:val="en-US" w:eastAsia="zh-CN"/>
        </w:rPr>
      </w:pPr>
      <w:r>
        <w:rPr>
          <w:rFonts w:hint="eastAsia" w:ascii="仿宋" w:hAnsi="仿宋" w:eastAsia="仿宋" w:cs="仿宋"/>
          <w:sz w:val="24"/>
          <w:szCs w:val="24"/>
        </w:rPr>
        <w:t>接收船负责人（签字）：</w:t>
      </w:r>
    </w:p>
    <w:sectPr>
      <w:footerReference r:id="rId6" w:type="default"/>
      <w:pgSz w:w="11910" w:h="16840"/>
      <w:pgMar w:top="1247" w:right="1417" w:bottom="1247" w:left="1417" w:header="0" w:footer="0" w:gutter="0"/>
      <w:pgBorders>
        <w:top w:val="none" w:sz="0" w:space="0"/>
        <w:left w:val="none" w:sz="0" w:space="0"/>
        <w:bottom w:val="none" w:sz="0" w:space="0"/>
        <w:right w:val="none" w:sz="0" w:space="0"/>
      </w:pgBorders>
      <w:pgNumType w:fmt="decimal"/>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swiss"/>
    <w:pitch w:val="default"/>
    <w:sig w:usb0="80000287" w:usb1="280F3C52" w:usb2="00000016" w:usb3="00000000" w:csb0="0004001F" w:csb1="00000000"/>
  </w:font>
  <w:font w:name="Cambria">
    <w:panose1 w:val="02040503050406030204"/>
    <w:charset w:val="00"/>
    <w:family w:val="roman"/>
    <w:pitch w:val="default"/>
    <w:sig w:usb0="E00002FF" w:usb1="400004FF" w:usb2="00000000" w:usb3="00000000" w:csb0="2000019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w:pict>
        <v:shape id="_x0000_s2050" o:spid="_x0000_s2050" o:spt="202" type="#_x0000_t202" style="position:absolute;left:0pt;margin-top:0pt;height:144pt;width:144pt;mso-position-horizontal:right;mso-position-horizontal-relative:margin;mso-wrap-style:none;z-index:247929856;mso-width-relative:page;mso-height-relative:page;" filled="f" stroked="f" coordsize="21600,21600">
          <v:path/>
          <v:fill on="f" focussize="0,0"/>
          <v:stroke on="f"/>
          <v:imagedata o:title=""/>
          <o:lock v:ext="edit" aspectratio="f"/>
          <v:textbox inset="0mm,0mm,0mm,0mm" style="mso-fit-shape-to-text:t;">
            <w:txbxContent>
              <w:p>
                <w:pPr>
                  <w:pStyle w:val="8"/>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w:t>
                </w:r>
                <w:r>
                  <w:rPr>
                    <w:rFonts w:hint="eastAsia"/>
                    <w:lang w:eastAsia="zh-CN"/>
                  </w:rPr>
                  <w:fldChar w:fldCharType="end"/>
                </w:r>
              </w:p>
            </w:txbxContent>
          </v:textbox>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w:pict>
        <v:shape id="_x0000_s2051" o:spid="_x0000_s2051" o:spt="202" type="#_x0000_t202" style="position:absolute;left:0pt;margin-top:0pt;height:144pt;width:144pt;mso-position-horizontal:right;mso-position-horizontal-relative:margin;mso-wrap-style:none;z-index:247930880;mso-width-relative:page;mso-height-relative:page;" filled="f" stroked="f" coordsize="21600,21600">
          <v:path/>
          <v:fill on="f" focussize="0,0"/>
          <v:stroke on="f"/>
          <v:imagedata o:title=""/>
          <o:lock v:ext="edit" aspectratio="f"/>
          <v:textbox inset="0mm,0mm,0mm,0mm" style="mso-fit-shape-to-text:t;">
            <w:txbxContent>
              <w:p>
                <w:pPr>
                  <w:pStyle w:val="8"/>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line="14" w:lineRule="auto"/>
      <w:rPr>
        <w:sz w:val="2"/>
      </w:rPr>
    </w:pPr>
    <w:r>
      <w:rPr>
        <w:sz w:val="2"/>
      </w:rPr>
      <w:pict>
        <v:shape id="_x0000_s2054" o:spid="_x0000_s2054" o:spt="202" type="#_x0000_t202" style="position:absolute;left:0pt;margin-top:0pt;height:144pt;width:144pt;mso-position-horizontal:right;mso-position-horizontal-relative:margin;mso-wrap-style:none;z-index:247932928;mso-width-relative:page;mso-height-relative:page;" filled="f" stroked="f" coordsize="21600,21600">
          <v:path/>
          <v:fill on="f" focussize="0,0"/>
          <v:stroke on="f"/>
          <v:imagedata o:title=""/>
          <o:lock v:ext="edit" aspectratio="f"/>
          <v:textbox inset="0mm,0mm,0mm,0mm" style="mso-fit-shape-to-text:t;">
            <w:txbxContent>
              <w:p>
                <w:pPr>
                  <w:pStyle w:val="8"/>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83</w:t>
                </w:r>
                <w:r>
                  <w:rPr>
                    <w:rFonts w:hint="eastAsia"/>
                    <w:lang w:eastAsia="zh-CN"/>
                  </w:rPr>
                  <w:fldChar w:fldCharType="end"/>
                </w:r>
              </w:p>
            </w:txbxContent>
          </v:textbox>
        </v:shape>
      </w:pic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0167F1C"/>
    <w:multiLevelType w:val="singleLevel"/>
    <w:tmpl w:val="C0167F1C"/>
    <w:lvl w:ilvl="0" w:tentative="0">
      <w:start w:val="1"/>
      <w:numFmt w:val="decimal"/>
      <w:suff w:val="nothing"/>
      <w:lvlText w:val="（%1）"/>
      <w:lvlJc w:val="left"/>
    </w:lvl>
  </w:abstractNum>
  <w:abstractNum w:abstractNumId="1">
    <w:nsid w:val="004B7753"/>
    <w:multiLevelType w:val="multilevel"/>
    <w:tmpl w:val="004B7753"/>
    <w:lvl w:ilvl="0" w:tentative="0">
      <w:start w:val="1"/>
      <w:numFmt w:val="japaneseCounting"/>
      <w:lvlText w:val="%1、"/>
      <w:lvlJc w:val="left"/>
      <w:pPr>
        <w:tabs>
          <w:tab w:val="left" w:pos="720"/>
        </w:tabs>
        <w:ind w:left="720" w:hanging="720"/>
      </w:pPr>
      <w:rPr>
        <w:rFonts w:hint="eastAsia"/>
      </w:rPr>
    </w:lvl>
    <w:lvl w:ilvl="1" w:tentative="0">
      <w:start w:val="1"/>
      <w:numFmt w:val="decimal"/>
      <w:lvlText w:val="%2、"/>
      <w:lvlJc w:val="left"/>
      <w:pPr>
        <w:tabs>
          <w:tab w:val="left" w:pos="1140"/>
        </w:tabs>
        <w:ind w:left="1140" w:hanging="720"/>
      </w:pPr>
      <w:rPr>
        <w:rFonts w:hint="eastAsia"/>
      </w:rPr>
    </w:lvl>
    <w:lvl w:ilvl="2" w:tentative="0">
      <w:start w:val="3"/>
      <w:numFmt w:val="japaneseCounting"/>
      <w:lvlText w:val="%3）"/>
      <w:lvlJc w:val="left"/>
      <w:pPr>
        <w:tabs>
          <w:tab w:val="left" w:pos="1560"/>
        </w:tabs>
        <w:ind w:left="1560" w:hanging="720"/>
      </w:pPr>
      <w:rPr>
        <w:rFonts w:hint="eastAsia"/>
      </w:rPr>
    </w:lvl>
    <w:lvl w:ilvl="3" w:tentative="0">
      <w:start w:val="0"/>
      <w:numFmt w:val="bullet"/>
      <w:lvlText w:val="●"/>
      <w:lvlJc w:val="left"/>
      <w:pPr>
        <w:tabs>
          <w:tab w:val="left" w:pos="1620"/>
        </w:tabs>
        <w:ind w:left="1620" w:hanging="360"/>
      </w:pPr>
      <w:rPr>
        <w:rFonts w:hint="eastAsia" w:ascii="宋体" w:hAnsi="宋体" w:eastAsia="宋体" w:cs="Times New Roman"/>
      </w:r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
    <w:nsid w:val="4507588D"/>
    <w:multiLevelType w:val="multilevel"/>
    <w:tmpl w:val="4507588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
    <w:nsid w:val="4E6D99BE"/>
    <w:multiLevelType w:val="singleLevel"/>
    <w:tmpl w:val="4E6D99BE"/>
    <w:lvl w:ilvl="0" w:tentative="0">
      <w:start w:val="1"/>
      <w:numFmt w:val="decimal"/>
      <w:suff w:val="nothing"/>
      <w:lvlText w:val="（%1）"/>
      <w:lvlJc w:val="left"/>
    </w:lvl>
  </w:abstractNum>
  <w:abstractNum w:abstractNumId="4">
    <w:nsid w:val="75867551"/>
    <w:multiLevelType w:val="multilevel"/>
    <w:tmpl w:val="75867551"/>
    <w:lvl w:ilvl="0" w:tentative="0">
      <w:start w:val="1"/>
      <w:numFmt w:val="bullet"/>
      <w:lvlText w:val=""/>
      <w:lvlJc w:val="left"/>
      <w:pPr>
        <w:ind w:left="986" w:hanging="420"/>
      </w:pPr>
      <w:rPr>
        <w:rFonts w:hint="default" w:ascii="Wingdings" w:hAnsi="Wingdings"/>
      </w:rPr>
    </w:lvl>
    <w:lvl w:ilvl="1" w:tentative="0">
      <w:start w:val="1"/>
      <w:numFmt w:val="bullet"/>
      <w:lvlText w:val=""/>
      <w:lvlJc w:val="left"/>
      <w:pPr>
        <w:ind w:left="1406" w:hanging="420"/>
      </w:pPr>
      <w:rPr>
        <w:rFonts w:hint="default" w:ascii="Wingdings" w:hAnsi="Wingdings"/>
      </w:rPr>
    </w:lvl>
    <w:lvl w:ilvl="2" w:tentative="0">
      <w:start w:val="1"/>
      <w:numFmt w:val="bullet"/>
      <w:lvlText w:val=""/>
      <w:lvlJc w:val="left"/>
      <w:pPr>
        <w:ind w:left="1826" w:hanging="420"/>
      </w:pPr>
      <w:rPr>
        <w:rFonts w:hint="default" w:ascii="Wingdings" w:hAnsi="Wingdings"/>
      </w:rPr>
    </w:lvl>
    <w:lvl w:ilvl="3" w:tentative="0">
      <w:start w:val="1"/>
      <w:numFmt w:val="bullet"/>
      <w:lvlText w:val=""/>
      <w:lvlJc w:val="left"/>
      <w:pPr>
        <w:ind w:left="2246" w:hanging="420"/>
      </w:pPr>
      <w:rPr>
        <w:rFonts w:hint="default" w:ascii="Wingdings" w:hAnsi="Wingdings"/>
      </w:rPr>
    </w:lvl>
    <w:lvl w:ilvl="4" w:tentative="0">
      <w:start w:val="1"/>
      <w:numFmt w:val="bullet"/>
      <w:lvlText w:val=""/>
      <w:lvlJc w:val="left"/>
      <w:pPr>
        <w:ind w:left="2666" w:hanging="420"/>
      </w:pPr>
      <w:rPr>
        <w:rFonts w:hint="default" w:ascii="Wingdings" w:hAnsi="Wingdings"/>
      </w:rPr>
    </w:lvl>
    <w:lvl w:ilvl="5" w:tentative="0">
      <w:start w:val="1"/>
      <w:numFmt w:val="bullet"/>
      <w:lvlText w:val=""/>
      <w:lvlJc w:val="left"/>
      <w:pPr>
        <w:ind w:left="3086" w:hanging="420"/>
      </w:pPr>
      <w:rPr>
        <w:rFonts w:hint="default" w:ascii="Wingdings" w:hAnsi="Wingdings"/>
      </w:rPr>
    </w:lvl>
    <w:lvl w:ilvl="6" w:tentative="0">
      <w:start w:val="1"/>
      <w:numFmt w:val="bullet"/>
      <w:lvlText w:val=""/>
      <w:lvlJc w:val="left"/>
      <w:pPr>
        <w:ind w:left="3506" w:hanging="420"/>
      </w:pPr>
      <w:rPr>
        <w:rFonts w:hint="default" w:ascii="Wingdings" w:hAnsi="Wingdings"/>
      </w:rPr>
    </w:lvl>
    <w:lvl w:ilvl="7" w:tentative="0">
      <w:start w:val="1"/>
      <w:numFmt w:val="bullet"/>
      <w:lvlText w:val=""/>
      <w:lvlJc w:val="left"/>
      <w:pPr>
        <w:ind w:left="3926" w:hanging="420"/>
      </w:pPr>
      <w:rPr>
        <w:rFonts w:hint="default" w:ascii="Wingdings" w:hAnsi="Wingdings"/>
      </w:rPr>
    </w:lvl>
    <w:lvl w:ilvl="8" w:tentative="0">
      <w:start w:val="1"/>
      <w:numFmt w:val="bullet"/>
      <w:lvlText w:val=""/>
      <w:lvlJc w:val="left"/>
      <w:pPr>
        <w:ind w:left="4346" w:hanging="420"/>
      </w:pPr>
      <w:rPr>
        <w:rFonts w:hint="default" w:ascii="Wingdings" w:hAnsi="Wingdings"/>
      </w:rPr>
    </w:lvl>
  </w:abstractNum>
  <w:num w:numId="1">
    <w:abstractNumId w:val="3"/>
  </w:num>
  <w:num w:numId="2">
    <w:abstractNumId w:val="2"/>
  </w:num>
  <w:num w:numId="3">
    <w:abstractNumId w:val="1"/>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0"/>
  <w:bordersDoNotSurroundFooter w:val="0"/>
  <w:documentProtection w:enforcement="0"/>
  <w:defaultTabStop w:val="720"/>
  <w:drawingGridHorizontalSpacing w:val="110"/>
  <w:displayHorizontalDrawingGridEvery w:val="1"/>
  <w:displayVerticalDrawingGridEvery w:val="1"/>
  <w:noPunctuationKerning w:val="1"/>
  <w:characterSpacingControl w:val="doNotCompress"/>
  <w:hdrShapeDefaults>
    <o:shapelayout v:ext="edit">
      <o:idmap v:ext="edit" data="2"/>
    </o:shapelayout>
  </w:hdrShapeDefaults>
  <w:compat>
    <w:ulTrailSpace/>
    <w:doNotExpandShiftReturn/>
    <w:doNotWrapTextWithPunct/>
    <w:doNotUseEastAsianBreakRules/>
    <w:useFELayout/>
    <w:doNotUseIndentAsNumberingTabStop/>
    <w:useAltKinsokuLineBreakRules/>
    <w:compatSetting w:name="compatibilityMode" w:uri="http://schemas.microsoft.com/office/word" w:val="12"/>
  </w:compat>
  <w:rsids>
    <w:rsidRoot w:val="00000000"/>
    <w:rsid w:val="00C472B3"/>
    <w:rsid w:val="00FA6778"/>
    <w:rsid w:val="01370351"/>
    <w:rsid w:val="01655B27"/>
    <w:rsid w:val="01660296"/>
    <w:rsid w:val="019F0D1F"/>
    <w:rsid w:val="01B518D1"/>
    <w:rsid w:val="01C82F28"/>
    <w:rsid w:val="01F83218"/>
    <w:rsid w:val="02300B96"/>
    <w:rsid w:val="027947B5"/>
    <w:rsid w:val="029C7C88"/>
    <w:rsid w:val="02B02D3D"/>
    <w:rsid w:val="02E27EC3"/>
    <w:rsid w:val="02E3588C"/>
    <w:rsid w:val="030614B3"/>
    <w:rsid w:val="030E1E35"/>
    <w:rsid w:val="03330198"/>
    <w:rsid w:val="03331724"/>
    <w:rsid w:val="033E52CE"/>
    <w:rsid w:val="03D04824"/>
    <w:rsid w:val="03DA5553"/>
    <w:rsid w:val="04154934"/>
    <w:rsid w:val="044D6173"/>
    <w:rsid w:val="0478186D"/>
    <w:rsid w:val="04832251"/>
    <w:rsid w:val="04844FE3"/>
    <w:rsid w:val="048B1A35"/>
    <w:rsid w:val="0497176B"/>
    <w:rsid w:val="04A81EB9"/>
    <w:rsid w:val="04C51E02"/>
    <w:rsid w:val="04C56DF2"/>
    <w:rsid w:val="04CC0E51"/>
    <w:rsid w:val="04DD1D1B"/>
    <w:rsid w:val="04F15DE1"/>
    <w:rsid w:val="04F17BC1"/>
    <w:rsid w:val="050B44C2"/>
    <w:rsid w:val="05243849"/>
    <w:rsid w:val="05A45147"/>
    <w:rsid w:val="05EF4B33"/>
    <w:rsid w:val="062C64A4"/>
    <w:rsid w:val="066A7E6B"/>
    <w:rsid w:val="068B08AD"/>
    <w:rsid w:val="06B643EA"/>
    <w:rsid w:val="06DB21A1"/>
    <w:rsid w:val="07141975"/>
    <w:rsid w:val="07406771"/>
    <w:rsid w:val="076C6F40"/>
    <w:rsid w:val="077B4EEB"/>
    <w:rsid w:val="07946E53"/>
    <w:rsid w:val="07AA7BFE"/>
    <w:rsid w:val="07B10CFF"/>
    <w:rsid w:val="07C00603"/>
    <w:rsid w:val="07C832DB"/>
    <w:rsid w:val="07C848F3"/>
    <w:rsid w:val="07E37DA0"/>
    <w:rsid w:val="08331509"/>
    <w:rsid w:val="08480933"/>
    <w:rsid w:val="085B4447"/>
    <w:rsid w:val="090573BF"/>
    <w:rsid w:val="097C0216"/>
    <w:rsid w:val="098050F1"/>
    <w:rsid w:val="0A025711"/>
    <w:rsid w:val="0A8A7385"/>
    <w:rsid w:val="0ACA1904"/>
    <w:rsid w:val="0ADD483A"/>
    <w:rsid w:val="0AF86AF9"/>
    <w:rsid w:val="0B2666A2"/>
    <w:rsid w:val="0B7C067A"/>
    <w:rsid w:val="0BDF0CBE"/>
    <w:rsid w:val="0C07126C"/>
    <w:rsid w:val="0C396690"/>
    <w:rsid w:val="0C477F81"/>
    <w:rsid w:val="0C6B5B70"/>
    <w:rsid w:val="0C766C82"/>
    <w:rsid w:val="0C847573"/>
    <w:rsid w:val="0CF830F9"/>
    <w:rsid w:val="0D157414"/>
    <w:rsid w:val="0D206BFD"/>
    <w:rsid w:val="0D607B26"/>
    <w:rsid w:val="0D6E2CD8"/>
    <w:rsid w:val="0D970A4D"/>
    <w:rsid w:val="0DC13199"/>
    <w:rsid w:val="0DCB0456"/>
    <w:rsid w:val="0DEB0556"/>
    <w:rsid w:val="0DF06D27"/>
    <w:rsid w:val="0E0F493D"/>
    <w:rsid w:val="0E337F42"/>
    <w:rsid w:val="0E367E8A"/>
    <w:rsid w:val="0E44174A"/>
    <w:rsid w:val="0E4D2408"/>
    <w:rsid w:val="0E801C7C"/>
    <w:rsid w:val="0E951773"/>
    <w:rsid w:val="0E981AB8"/>
    <w:rsid w:val="0EAB3B80"/>
    <w:rsid w:val="0EBA5B02"/>
    <w:rsid w:val="0EC4591C"/>
    <w:rsid w:val="0ED25625"/>
    <w:rsid w:val="0F312211"/>
    <w:rsid w:val="0F550839"/>
    <w:rsid w:val="101A7F25"/>
    <w:rsid w:val="102B1551"/>
    <w:rsid w:val="102D607C"/>
    <w:rsid w:val="102F351C"/>
    <w:rsid w:val="103A4A1B"/>
    <w:rsid w:val="10740C6F"/>
    <w:rsid w:val="107C7407"/>
    <w:rsid w:val="107D245C"/>
    <w:rsid w:val="109B44C7"/>
    <w:rsid w:val="119F5709"/>
    <w:rsid w:val="11B13E06"/>
    <w:rsid w:val="11C81E09"/>
    <w:rsid w:val="1271715A"/>
    <w:rsid w:val="128123F4"/>
    <w:rsid w:val="1298205D"/>
    <w:rsid w:val="1299065F"/>
    <w:rsid w:val="12AF4D72"/>
    <w:rsid w:val="12CC3CEF"/>
    <w:rsid w:val="12F0641A"/>
    <w:rsid w:val="131717EB"/>
    <w:rsid w:val="13187D10"/>
    <w:rsid w:val="136F6BD9"/>
    <w:rsid w:val="137D2C88"/>
    <w:rsid w:val="13B16B0F"/>
    <w:rsid w:val="14210738"/>
    <w:rsid w:val="145005F4"/>
    <w:rsid w:val="14997437"/>
    <w:rsid w:val="14E37651"/>
    <w:rsid w:val="151531E6"/>
    <w:rsid w:val="151D43B0"/>
    <w:rsid w:val="152F4DCE"/>
    <w:rsid w:val="15917440"/>
    <w:rsid w:val="15951979"/>
    <w:rsid w:val="15DB6FBD"/>
    <w:rsid w:val="15DB7CF6"/>
    <w:rsid w:val="15DE4B7A"/>
    <w:rsid w:val="16790F77"/>
    <w:rsid w:val="16923B21"/>
    <w:rsid w:val="16B2445B"/>
    <w:rsid w:val="1706165E"/>
    <w:rsid w:val="174225F7"/>
    <w:rsid w:val="17470819"/>
    <w:rsid w:val="17580B04"/>
    <w:rsid w:val="17585BDB"/>
    <w:rsid w:val="17944CFD"/>
    <w:rsid w:val="17D71B2C"/>
    <w:rsid w:val="17EA7AEA"/>
    <w:rsid w:val="17ED1A0B"/>
    <w:rsid w:val="17FC30E0"/>
    <w:rsid w:val="183A5E25"/>
    <w:rsid w:val="183F38A6"/>
    <w:rsid w:val="186E572C"/>
    <w:rsid w:val="1876363D"/>
    <w:rsid w:val="18765560"/>
    <w:rsid w:val="18A32FC6"/>
    <w:rsid w:val="18A85178"/>
    <w:rsid w:val="18F20426"/>
    <w:rsid w:val="18F43899"/>
    <w:rsid w:val="190712DF"/>
    <w:rsid w:val="194E1B63"/>
    <w:rsid w:val="1955172A"/>
    <w:rsid w:val="197561E8"/>
    <w:rsid w:val="1A083BD8"/>
    <w:rsid w:val="1A3E5A18"/>
    <w:rsid w:val="1A591E78"/>
    <w:rsid w:val="1A704E64"/>
    <w:rsid w:val="1A810D12"/>
    <w:rsid w:val="1A942A4F"/>
    <w:rsid w:val="1ABD7151"/>
    <w:rsid w:val="1ACA4E84"/>
    <w:rsid w:val="1ADA0BF2"/>
    <w:rsid w:val="1ADB735D"/>
    <w:rsid w:val="1B152CE8"/>
    <w:rsid w:val="1B1F5431"/>
    <w:rsid w:val="1B610A44"/>
    <w:rsid w:val="1B6D55C0"/>
    <w:rsid w:val="1B7E4553"/>
    <w:rsid w:val="1BAF38A5"/>
    <w:rsid w:val="1BBE0904"/>
    <w:rsid w:val="1BC948FE"/>
    <w:rsid w:val="1BDC02E3"/>
    <w:rsid w:val="1BE058D2"/>
    <w:rsid w:val="1BE4455F"/>
    <w:rsid w:val="1C136A31"/>
    <w:rsid w:val="1C6841A8"/>
    <w:rsid w:val="1CAE0B1B"/>
    <w:rsid w:val="1CB65BC0"/>
    <w:rsid w:val="1CB923A5"/>
    <w:rsid w:val="1CD6280B"/>
    <w:rsid w:val="1D264EB4"/>
    <w:rsid w:val="1D291BE7"/>
    <w:rsid w:val="1D371F5A"/>
    <w:rsid w:val="1D61394C"/>
    <w:rsid w:val="1DA25917"/>
    <w:rsid w:val="1DC1269E"/>
    <w:rsid w:val="1DD52CC6"/>
    <w:rsid w:val="1DF675D6"/>
    <w:rsid w:val="1E815121"/>
    <w:rsid w:val="1EB075F7"/>
    <w:rsid w:val="1EEA5802"/>
    <w:rsid w:val="1F030D77"/>
    <w:rsid w:val="1F041211"/>
    <w:rsid w:val="1F234D92"/>
    <w:rsid w:val="1F771C97"/>
    <w:rsid w:val="1F8702AF"/>
    <w:rsid w:val="1FAE4E74"/>
    <w:rsid w:val="1FB54E08"/>
    <w:rsid w:val="201D5965"/>
    <w:rsid w:val="205E248B"/>
    <w:rsid w:val="206A73CB"/>
    <w:rsid w:val="206C50DD"/>
    <w:rsid w:val="206D0E54"/>
    <w:rsid w:val="207642CD"/>
    <w:rsid w:val="20777508"/>
    <w:rsid w:val="20784E0D"/>
    <w:rsid w:val="20C80816"/>
    <w:rsid w:val="20FD3179"/>
    <w:rsid w:val="215158C4"/>
    <w:rsid w:val="216419FC"/>
    <w:rsid w:val="2165335A"/>
    <w:rsid w:val="218D21C9"/>
    <w:rsid w:val="219F6462"/>
    <w:rsid w:val="21BD5D2C"/>
    <w:rsid w:val="21E95CF4"/>
    <w:rsid w:val="220D3FA4"/>
    <w:rsid w:val="222130A3"/>
    <w:rsid w:val="22C9770B"/>
    <w:rsid w:val="22CF0800"/>
    <w:rsid w:val="22EA1E09"/>
    <w:rsid w:val="231371DC"/>
    <w:rsid w:val="23321357"/>
    <w:rsid w:val="233F248C"/>
    <w:rsid w:val="23602F01"/>
    <w:rsid w:val="236A5E50"/>
    <w:rsid w:val="23AC2705"/>
    <w:rsid w:val="23C34886"/>
    <w:rsid w:val="23D21475"/>
    <w:rsid w:val="24120637"/>
    <w:rsid w:val="2439523A"/>
    <w:rsid w:val="246D2741"/>
    <w:rsid w:val="24752CF6"/>
    <w:rsid w:val="247F0F56"/>
    <w:rsid w:val="24A01A85"/>
    <w:rsid w:val="24D2536A"/>
    <w:rsid w:val="251E79E6"/>
    <w:rsid w:val="252752FB"/>
    <w:rsid w:val="252D1302"/>
    <w:rsid w:val="254E5756"/>
    <w:rsid w:val="2550643F"/>
    <w:rsid w:val="25B32AC1"/>
    <w:rsid w:val="25D657DF"/>
    <w:rsid w:val="26344429"/>
    <w:rsid w:val="266C2A4C"/>
    <w:rsid w:val="26704E1C"/>
    <w:rsid w:val="26721F38"/>
    <w:rsid w:val="267603A0"/>
    <w:rsid w:val="26D11396"/>
    <w:rsid w:val="2706021C"/>
    <w:rsid w:val="274F5A27"/>
    <w:rsid w:val="27883E13"/>
    <w:rsid w:val="278D233E"/>
    <w:rsid w:val="281778E7"/>
    <w:rsid w:val="28226C38"/>
    <w:rsid w:val="28661F39"/>
    <w:rsid w:val="289C18FA"/>
    <w:rsid w:val="28C35034"/>
    <w:rsid w:val="28DF07A7"/>
    <w:rsid w:val="28FF1A56"/>
    <w:rsid w:val="29033172"/>
    <w:rsid w:val="2909342F"/>
    <w:rsid w:val="29214AE2"/>
    <w:rsid w:val="296D6CBD"/>
    <w:rsid w:val="29830D82"/>
    <w:rsid w:val="29B70A10"/>
    <w:rsid w:val="29D4513A"/>
    <w:rsid w:val="2A12486D"/>
    <w:rsid w:val="2A293892"/>
    <w:rsid w:val="2A551B07"/>
    <w:rsid w:val="2A5F5937"/>
    <w:rsid w:val="2A7079B1"/>
    <w:rsid w:val="2A86546F"/>
    <w:rsid w:val="2B1816F8"/>
    <w:rsid w:val="2B582F98"/>
    <w:rsid w:val="2B596743"/>
    <w:rsid w:val="2B6A46D1"/>
    <w:rsid w:val="2B7401F5"/>
    <w:rsid w:val="2BA5054D"/>
    <w:rsid w:val="2BAD56FE"/>
    <w:rsid w:val="2BAE0E46"/>
    <w:rsid w:val="2BEA74E6"/>
    <w:rsid w:val="2C065023"/>
    <w:rsid w:val="2C0A5912"/>
    <w:rsid w:val="2C480962"/>
    <w:rsid w:val="2C675CFB"/>
    <w:rsid w:val="2CAD1316"/>
    <w:rsid w:val="2CC02B01"/>
    <w:rsid w:val="2CD21C0C"/>
    <w:rsid w:val="2CE949DA"/>
    <w:rsid w:val="2D125865"/>
    <w:rsid w:val="2D445609"/>
    <w:rsid w:val="2D4F05E9"/>
    <w:rsid w:val="2D6430C8"/>
    <w:rsid w:val="2D797190"/>
    <w:rsid w:val="2D8E4001"/>
    <w:rsid w:val="2D94731B"/>
    <w:rsid w:val="2DA173AD"/>
    <w:rsid w:val="2DE63CAC"/>
    <w:rsid w:val="2E1B0281"/>
    <w:rsid w:val="2E200A30"/>
    <w:rsid w:val="2E43338B"/>
    <w:rsid w:val="2E746F36"/>
    <w:rsid w:val="2E8B08D3"/>
    <w:rsid w:val="2ECA1A3F"/>
    <w:rsid w:val="2EFC3D81"/>
    <w:rsid w:val="2F0904C5"/>
    <w:rsid w:val="2F2A6B67"/>
    <w:rsid w:val="2F53487E"/>
    <w:rsid w:val="2F5B066F"/>
    <w:rsid w:val="2F6A6CEF"/>
    <w:rsid w:val="2F7B5C72"/>
    <w:rsid w:val="2FB563EC"/>
    <w:rsid w:val="2FC07753"/>
    <w:rsid w:val="30241021"/>
    <w:rsid w:val="30357B53"/>
    <w:rsid w:val="30554D50"/>
    <w:rsid w:val="308E62CE"/>
    <w:rsid w:val="30A1166B"/>
    <w:rsid w:val="30B106E2"/>
    <w:rsid w:val="30CB365C"/>
    <w:rsid w:val="30ED5E17"/>
    <w:rsid w:val="310E19E2"/>
    <w:rsid w:val="31432B9C"/>
    <w:rsid w:val="31556FE6"/>
    <w:rsid w:val="31595E57"/>
    <w:rsid w:val="317A428C"/>
    <w:rsid w:val="31FB402E"/>
    <w:rsid w:val="320F34B4"/>
    <w:rsid w:val="32254710"/>
    <w:rsid w:val="322A2954"/>
    <w:rsid w:val="32522ECA"/>
    <w:rsid w:val="32A22318"/>
    <w:rsid w:val="32C12CB1"/>
    <w:rsid w:val="32CC5684"/>
    <w:rsid w:val="330A7CEF"/>
    <w:rsid w:val="33296C1F"/>
    <w:rsid w:val="33670F11"/>
    <w:rsid w:val="33913391"/>
    <w:rsid w:val="33B2136C"/>
    <w:rsid w:val="33BD049E"/>
    <w:rsid w:val="33E2177A"/>
    <w:rsid w:val="33FF5B1E"/>
    <w:rsid w:val="340E5100"/>
    <w:rsid w:val="341F6681"/>
    <w:rsid w:val="346F183D"/>
    <w:rsid w:val="34B510C9"/>
    <w:rsid w:val="34EA5236"/>
    <w:rsid w:val="34F3597E"/>
    <w:rsid w:val="34FF48F2"/>
    <w:rsid w:val="35303148"/>
    <w:rsid w:val="35405325"/>
    <w:rsid w:val="355C4A10"/>
    <w:rsid w:val="35666717"/>
    <w:rsid w:val="35E26296"/>
    <w:rsid w:val="35EF2E60"/>
    <w:rsid w:val="35F15430"/>
    <w:rsid w:val="35F8542F"/>
    <w:rsid w:val="35FD1373"/>
    <w:rsid w:val="3607349C"/>
    <w:rsid w:val="36236A6A"/>
    <w:rsid w:val="36362A19"/>
    <w:rsid w:val="36A62E20"/>
    <w:rsid w:val="36A94634"/>
    <w:rsid w:val="36C54EA0"/>
    <w:rsid w:val="36F3117C"/>
    <w:rsid w:val="36FE1966"/>
    <w:rsid w:val="372D4EDE"/>
    <w:rsid w:val="37872A3C"/>
    <w:rsid w:val="37904406"/>
    <w:rsid w:val="37AD7568"/>
    <w:rsid w:val="37B75340"/>
    <w:rsid w:val="37CB6B58"/>
    <w:rsid w:val="37D21151"/>
    <w:rsid w:val="38042FA2"/>
    <w:rsid w:val="380A6157"/>
    <w:rsid w:val="3830375F"/>
    <w:rsid w:val="38FF2970"/>
    <w:rsid w:val="393656B5"/>
    <w:rsid w:val="3963529B"/>
    <w:rsid w:val="399C6E20"/>
    <w:rsid w:val="399E419D"/>
    <w:rsid w:val="3A083D14"/>
    <w:rsid w:val="3A092C96"/>
    <w:rsid w:val="3A702AF7"/>
    <w:rsid w:val="3A7210D0"/>
    <w:rsid w:val="3AAD7B08"/>
    <w:rsid w:val="3AC20D63"/>
    <w:rsid w:val="3AC60581"/>
    <w:rsid w:val="3ADA18B1"/>
    <w:rsid w:val="3B037EF4"/>
    <w:rsid w:val="3B087F8B"/>
    <w:rsid w:val="3B346384"/>
    <w:rsid w:val="3B5770EA"/>
    <w:rsid w:val="3B5B358A"/>
    <w:rsid w:val="3B5F2D04"/>
    <w:rsid w:val="3B896E17"/>
    <w:rsid w:val="3BFF7550"/>
    <w:rsid w:val="3C09540A"/>
    <w:rsid w:val="3C3D7504"/>
    <w:rsid w:val="3CA43C4D"/>
    <w:rsid w:val="3CB240B4"/>
    <w:rsid w:val="3CF339EE"/>
    <w:rsid w:val="3CFF45C3"/>
    <w:rsid w:val="3D2012A6"/>
    <w:rsid w:val="3D5E7DBD"/>
    <w:rsid w:val="3D743F5A"/>
    <w:rsid w:val="3D7F3C72"/>
    <w:rsid w:val="3D7F6401"/>
    <w:rsid w:val="3D840914"/>
    <w:rsid w:val="3DBA2511"/>
    <w:rsid w:val="3E653331"/>
    <w:rsid w:val="3EAA54F5"/>
    <w:rsid w:val="3EAB6812"/>
    <w:rsid w:val="3ED971B9"/>
    <w:rsid w:val="3EE11467"/>
    <w:rsid w:val="3F07151A"/>
    <w:rsid w:val="3F1326CA"/>
    <w:rsid w:val="3F1D6390"/>
    <w:rsid w:val="3F7E46A4"/>
    <w:rsid w:val="4017488F"/>
    <w:rsid w:val="403E1650"/>
    <w:rsid w:val="404853E1"/>
    <w:rsid w:val="406F088A"/>
    <w:rsid w:val="407D50C0"/>
    <w:rsid w:val="40996395"/>
    <w:rsid w:val="40B07884"/>
    <w:rsid w:val="40B976D3"/>
    <w:rsid w:val="40BE4392"/>
    <w:rsid w:val="40CF6523"/>
    <w:rsid w:val="412A21CC"/>
    <w:rsid w:val="412F7B4D"/>
    <w:rsid w:val="413149D1"/>
    <w:rsid w:val="41410C27"/>
    <w:rsid w:val="414A7A76"/>
    <w:rsid w:val="414C2547"/>
    <w:rsid w:val="41F97767"/>
    <w:rsid w:val="42112A25"/>
    <w:rsid w:val="421F2974"/>
    <w:rsid w:val="427D7E00"/>
    <w:rsid w:val="429B034A"/>
    <w:rsid w:val="42B61D40"/>
    <w:rsid w:val="42BA149F"/>
    <w:rsid w:val="42DB7613"/>
    <w:rsid w:val="43144065"/>
    <w:rsid w:val="43464968"/>
    <w:rsid w:val="43576DA0"/>
    <w:rsid w:val="43A756BA"/>
    <w:rsid w:val="43A9793D"/>
    <w:rsid w:val="43D26224"/>
    <w:rsid w:val="43DC1020"/>
    <w:rsid w:val="440D2F03"/>
    <w:rsid w:val="44C91F4C"/>
    <w:rsid w:val="450276D1"/>
    <w:rsid w:val="450F5280"/>
    <w:rsid w:val="45167E29"/>
    <w:rsid w:val="453E30E8"/>
    <w:rsid w:val="45564560"/>
    <w:rsid w:val="456723B1"/>
    <w:rsid w:val="458B3637"/>
    <w:rsid w:val="45AF6B80"/>
    <w:rsid w:val="45B30776"/>
    <w:rsid w:val="45CF4B6E"/>
    <w:rsid w:val="45EF3E64"/>
    <w:rsid w:val="46150DA1"/>
    <w:rsid w:val="46424898"/>
    <w:rsid w:val="46E53683"/>
    <w:rsid w:val="47003AE4"/>
    <w:rsid w:val="471065B4"/>
    <w:rsid w:val="47137575"/>
    <w:rsid w:val="47266ACE"/>
    <w:rsid w:val="473E6267"/>
    <w:rsid w:val="475837C9"/>
    <w:rsid w:val="476C782A"/>
    <w:rsid w:val="477E6746"/>
    <w:rsid w:val="478847F4"/>
    <w:rsid w:val="47A77C7A"/>
    <w:rsid w:val="47AE6D56"/>
    <w:rsid w:val="47AF6033"/>
    <w:rsid w:val="47F670D6"/>
    <w:rsid w:val="48092EFE"/>
    <w:rsid w:val="484378BE"/>
    <w:rsid w:val="485D2C90"/>
    <w:rsid w:val="489E73B1"/>
    <w:rsid w:val="48AB38A7"/>
    <w:rsid w:val="48C379AD"/>
    <w:rsid w:val="48D63D59"/>
    <w:rsid w:val="48F038C9"/>
    <w:rsid w:val="48FB4AAA"/>
    <w:rsid w:val="49075FBA"/>
    <w:rsid w:val="491B26F2"/>
    <w:rsid w:val="49230372"/>
    <w:rsid w:val="4936226F"/>
    <w:rsid w:val="493D3875"/>
    <w:rsid w:val="497260F8"/>
    <w:rsid w:val="49BB5A3F"/>
    <w:rsid w:val="49D866CE"/>
    <w:rsid w:val="49D86BA1"/>
    <w:rsid w:val="49FA2A5A"/>
    <w:rsid w:val="49FD7478"/>
    <w:rsid w:val="4A2D6DAC"/>
    <w:rsid w:val="4A31187E"/>
    <w:rsid w:val="4A311CB8"/>
    <w:rsid w:val="4A7023CF"/>
    <w:rsid w:val="4AB860A9"/>
    <w:rsid w:val="4AD830E0"/>
    <w:rsid w:val="4AFA2FA8"/>
    <w:rsid w:val="4B0D503F"/>
    <w:rsid w:val="4B1E14C9"/>
    <w:rsid w:val="4B6E4E8B"/>
    <w:rsid w:val="4B7D0D76"/>
    <w:rsid w:val="4B9538B5"/>
    <w:rsid w:val="4BA92619"/>
    <w:rsid w:val="4BD2100C"/>
    <w:rsid w:val="4BFE4A29"/>
    <w:rsid w:val="4C111C5B"/>
    <w:rsid w:val="4C49577F"/>
    <w:rsid w:val="4C5603C3"/>
    <w:rsid w:val="4C713C17"/>
    <w:rsid w:val="4C9C68F2"/>
    <w:rsid w:val="4CDC5E3E"/>
    <w:rsid w:val="4D252214"/>
    <w:rsid w:val="4D330F97"/>
    <w:rsid w:val="4D494698"/>
    <w:rsid w:val="4D6A63C8"/>
    <w:rsid w:val="4D7C078A"/>
    <w:rsid w:val="4D823501"/>
    <w:rsid w:val="4DD83815"/>
    <w:rsid w:val="4DDA0253"/>
    <w:rsid w:val="4DDB7215"/>
    <w:rsid w:val="4DE50D42"/>
    <w:rsid w:val="4E5D79DC"/>
    <w:rsid w:val="4E78034B"/>
    <w:rsid w:val="4EA95F88"/>
    <w:rsid w:val="4EB82BEB"/>
    <w:rsid w:val="4EB91E46"/>
    <w:rsid w:val="4F17508A"/>
    <w:rsid w:val="4F20184F"/>
    <w:rsid w:val="4F3C14DB"/>
    <w:rsid w:val="4F567CEC"/>
    <w:rsid w:val="4F7A31BF"/>
    <w:rsid w:val="4FB6537F"/>
    <w:rsid w:val="4FC90505"/>
    <w:rsid w:val="4FCF1CEC"/>
    <w:rsid w:val="4FE23F6A"/>
    <w:rsid w:val="4FE51B96"/>
    <w:rsid w:val="503F1AE8"/>
    <w:rsid w:val="505C0E34"/>
    <w:rsid w:val="506E4CFB"/>
    <w:rsid w:val="507B311F"/>
    <w:rsid w:val="509F71A1"/>
    <w:rsid w:val="50AE1137"/>
    <w:rsid w:val="50D56A42"/>
    <w:rsid w:val="50E74053"/>
    <w:rsid w:val="50EE5C86"/>
    <w:rsid w:val="50FA45E8"/>
    <w:rsid w:val="51295AB7"/>
    <w:rsid w:val="51417E7C"/>
    <w:rsid w:val="517274C0"/>
    <w:rsid w:val="51CA7C63"/>
    <w:rsid w:val="51E615AB"/>
    <w:rsid w:val="52285C7C"/>
    <w:rsid w:val="523C372E"/>
    <w:rsid w:val="52695A19"/>
    <w:rsid w:val="527A7546"/>
    <w:rsid w:val="52824C21"/>
    <w:rsid w:val="528C3606"/>
    <w:rsid w:val="53267CD9"/>
    <w:rsid w:val="532B6374"/>
    <w:rsid w:val="535F73E2"/>
    <w:rsid w:val="53AB45B2"/>
    <w:rsid w:val="53B601E6"/>
    <w:rsid w:val="53B60CD9"/>
    <w:rsid w:val="53D56B37"/>
    <w:rsid w:val="53E774F9"/>
    <w:rsid w:val="54041E5B"/>
    <w:rsid w:val="54520555"/>
    <w:rsid w:val="546A60C6"/>
    <w:rsid w:val="54710C27"/>
    <w:rsid w:val="54CB496F"/>
    <w:rsid w:val="54D52A80"/>
    <w:rsid w:val="551D2405"/>
    <w:rsid w:val="55220657"/>
    <w:rsid w:val="556D7D26"/>
    <w:rsid w:val="557031CD"/>
    <w:rsid w:val="559B15D6"/>
    <w:rsid w:val="55C7653B"/>
    <w:rsid w:val="55D35059"/>
    <w:rsid w:val="5609485E"/>
    <w:rsid w:val="56800EAB"/>
    <w:rsid w:val="568632F5"/>
    <w:rsid w:val="56B63F44"/>
    <w:rsid w:val="56C80F00"/>
    <w:rsid w:val="56CC554C"/>
    <w:rsid w:val="56F55074"/>
    <w:rsid w:val="571A6E94"/>
    <w:rsid w:val="575E6BCE"/>
    <w:rsid w:val="576D6B5E"/>
    <w:rsid w:val="577F2104"/>
    <w:rsid w:val="5780025C"/>
    <w:rsid w:val="57995A13"/>
    <w:rsid w:val="58031D16"/>
    <w:rsid w:val="586B677E"/>
    <w:rsid w:val="58A33865"/>
    <w:rsid w:val="58CF490F"/>
    <w:rsid w:val="59061E32"/>
    <w:rsid w:val="591A650E"/>
    <w:rsid w:val="59362D05"/>
    <w:rsid w:val="5A136490"/>
    <w:rsid w:val="5A6A523B"/>
    <w:rsid w:val="5AA51A36"/>
    <w:rsid w:val="5AFF553E"/>
    <w:rsid w:val="5B0C3A24"/>
    <w:rsid w:val="5B22488A"/>
    <w:rsid w:val="5BA72429"/>
    <w:rsid w:val="5BBC6CAF"/>
    <w:rsid w:val="5C683AA2"/>
    <w:rsid w:val="5CA02472"/>
    <w:rsid w:val="5CA06A84"/>
    <w:rsid w:val="5CA466A5"/>
    <w:rsid w:val="5CA53E5A"/>
    <w:rsid w:val="5CB12703"/>
    <w:rsid w:val="5CCB6A9C"/>
    <w:rsid w:val="5CE15D5B"/>
    <w:rsid w:val="5CF334B6"/>
    <w:rsid w:val="5D487369"/>
    <w:rsid w:val="5D4B2D42"/>
    <w:rsid w:val="5D604111"/>
    <w:rsid w:val="5D7A5B0B"/>
    <w:rsid w:val="5D7D0F3E"/>
    <w:rsid w:val="5D90249D"/>
    <w:rsid w:val="5D9B5278"/>
    <w:rsid w:val="5D9E4417"/>
    <w:rsid w:val="5DAE1FCC"/>
    <w:rsid w:val="5E0601F8"/>
    <w:rsid w:val="5E0606DB"/>
    <w:rsid w:val="5E39229C"/>
    <w:rsid w:val="5E3B68AD"/>
    <w:rsid w:val="5E413253"/>
    <w:rsid w:val="5E543FC6"/>
    <w:rsid w:val="5E5E38AA"/>
    <w:rsid w:val="5E762DFB"/>
    <w:rsid w:val="5E9158F4"/>
    <w:rsid w:val="5E9577B7"/>
    <w:rsid w:val="5F060E35"/>
    <w:rsid w:val="5F3B056A"/>
    <w:rsid w:val="5F4558FA"/>
    <w:rsid w:val="5F71613E"/>
    <w:rsid w:val="60435357"/>
    <w:rsid w:val="604C1970"/>
    <w:rsid w:val="604D6CFB"/>
    <w:rsid w:val="60575903"/>
    <w:rsid w:val="605E2FBF"/>
    <w:rsid w:val="60777D49"/>
    <w:rsid w:val="60811343"/>
    <w:rsid w:val="609451E4"/>
    <w:rsid w:val="60AF3EC8"/>
    <w:rsid w:val="60B542AF"/>
    <w:rsid w:val="60C0217C"/>
    <w:rsid w:val="60FD0C51"/>
    <w:rsid w:val="61017227"/>
    <w:rsid w:val="612E6BFD"/>
    <w:rsid w:val="612F1EDF"/>
    <w:rsid w:val="615E0613"/>
    <w:rsid w:val="618047C2"/>
    <w:rsid w:val="61C16CEF"/>
    <w:rsid w:val="61CE693B"/>
    <w:rsid w:val="61E545CA"/>
    <w:rsid w:val="620A1DEF"/>
    <w:rsid w:val="621F6B17"/>
    <w:rsid w:val="622039A2"/>
    <w:rsid w:val="62220CA2"/>
    <w:rsid w:val="623D051C"/>
    <w:rsid w:val="627E6270"/>
    <w:rsid w:val="627E6E37"/>
    <w:rsid w:val="62D14EAA"/>
    <w:rsid w:val="62D92238"/>
    <w:rsid w:val="62DD00FF"/>
    <w:rsid w:val="62FC5EFC"/>
    <w:rsid w:val="6305214B"/>
    <w:rsid w:val="630E7E72"/>
    <w:rsid w:val="632569FD"/>
    <w:rsid w:val="633E0B11"/>
    <w:rsid w:val="6344627C"/>
    <w:rsid w:val="63CA3A89"/>
    <w:rsid w:val="63F35CF0"/>
    <w:rsid w:val="63FA6A18"/>
    <w:rsid w:val="64593109"/>
    <w:rsid w:val="6476613B"/>
    <w:rsid w:val="647D21E2"/>
    <w:rsid w:val="648C3108"/>
    <w:rsid w:val="64E70138"/>
    <w:rsid w:val="64E81DD0"/>
    <w:rsid w:val="6504529C"/>
    <w:rsid w:val="65233832"/>
    <w:rsid w:val="652460A9"/>
    <w:rsid w:val="65312783"/>
    <w:rsid w:val="653219A8"/>
    <w:rsid w:val="65341306"/>
    <w:rsid w:val="657D6A20"/>
    <w:rsid w:val="65A83BF3"/>
    <w:rsid w:val="65A92704"/>
    <w:rsid w:val="65B32DC1"/>
    <w:rsid w:val="65BC277A"/>
    <w:rsid w:val="65BF5B48"/>
    <w:rsid w:val="6601624D"/>
    <w:rsid w:val="662221EA"/>
    <w:rsid w:val="662924C5"/>
    <w:rsid w:val="66395FFE"/>
    <w:rsid w:val="668E06EC"/>
    <w:rsid w:val="66E233FB"/>
    <w:rsid w:val="67113783"/>
    <w:rsid w:val="673512E1"/>
    <w:rsid w:val="67A47F8A"/>
    <w:rsid w:val="67BE2FD0"/>
    <w:rsid w:val="67C306C3"/>
    <w:rsid w:val="68100359"/>
    <w:rsid w:val="68205C6D"/>
    <w:rsid w:val="687930C1"/>
    <w:rsid w:val="68AD07B3"/>
    <w:rsid w:val="68B52E13"/>
    <w:rsid w:val="68FF39AE"/>
    <w:rsid w:val="692D51D8"/>
    <w:rsid w:val="69392D93"/>
    <w:rsid w:val="69911EF3"/>
    <w:rsid w:val="69F45652"/>
    <w:rsid w:val="6A2B3A71"/>
    <w:rsid w:val="6A370BE2"/>
    <w:rsid w:val="6A440FA0"/>
    <w:rsid w:val="6A720A05"/>
    <w:rsid w:val="6A7773FC"/>
    <w:rsid w:val="6B0170A8"/>
    <w:rsid w:val="6B192E97"/>
    <w:rsid w:val="6B461095"/>
    <w:rsid w:val="6B59140A"/>
    <w:rsid w:val="6B5A3277"/>
    <w:rsid w:val="6B8A4EB6"/>
    <w:rsid w:val="6BE63A3D"/>
    <w:rsid w:val="6C5D64D5"/>
    <w:rsid w:val="6C7C1B3A"/>
    <w:rsid w:val="6CA86BEC"/>
    <w:rsid w:val="6CB606F9"/>
    <w:rsid w:val="6CC917B9"/>
    <w:rsid w:val="6CEC499D"/>
    <w:rsid w:val="6D0822F2"/>
    <w:rsid w:val="6D0F743B"/>
    <w:rsid w:val="6D1D3F71"/>
    <w:rsid w:val="6D9074A8"/>
    <w:rsid w:val="6DE5379D"/>
    <w:rsid w:val="6DE71D33"/>
    <w:rsid w:val="6E244ACF"/>
    <w:rsid w:val="6E5D49E2"/>
    <w:rsid w:val="6E880935"/>
    <w:rsid w:val="6E8D3D8F"/>
    <w:rsid w:val="6E9126C6"/>
    <w:rsid w:val="6EFA6DD3"/>
    <w:rsid w:val="6F391512"/>
    <w:rsid w:val="6F563C6C"/>
    <w:rsid w:val="6F6039FE"/>
    <w:rsid w:val="6F6710CA"/>
    <w:rsid w:val="6F714116"/>
    <w:rsid w:val="6F987195"/>
    <w:rsid w:val="6FBE62B4"/>
    <w:rsid w:val="6FDB7A01"/>
    <w:rsid w:val="70156115"/>
    <w:rsid w:val="70251EFE"/>
    <w:rsid w:val="704C34DD"/>
    <w:rsid w:val="707A3927"/>
    <w:rsid w:val="709B2A8B"/>
    <w:rsid w:val="70AC1FC6"/>
    <w:rsid w:val="70C95733"/>
    <w:rsid w:val="70F375C8"/>
    <w:rsid w:val="71064CFE"/>
    <w:rsid w:val="711551B1"/>
    <w:rsid w:val="71795B99"/>
    <w:rsid w:val="71A7484D"/>
    <w:rsid w:val="71C83087"/>
    <w:rsid w:val="71F5773D"/>
    <w:rsid w:val="71F704AA"/>
    <w:rsid w:val="72020C1F"/>
    <w:rsid w:val="72356323"/>
    <w:rsid w:val="72781998"/>
    <w:rsid w:val="729A73FF"/>
    <w:rsid w:val="72B757CD"/>
    <w:rsid w:val="72CB405C"/>
    <w:rsid w:val="72F675C6"/>
    <w:rsid w:val="72FE64B0"/>
    <w:rsid w:val="732B09DD"/>
    <w:rsid w:val="732C4CB4"/>
    <w:rsid w:val="7332281A"/>
    <w:rsid w:val="733B7594"/>
    <w:rsid w:val="7350130A"/>
    <w:rsid w:val="73AA6ED7"/>
    <w:rsid w:val="73B7276A"/>
    <w:rsid w:val="73C325B7"/>
    <w:rsid w:val="73D436BC"/>
    <w:rsid w:val="742757B9"/>
    <w:rsid w:val="7442798D"/>
    <w:rsid w:val="74573272"/>
    <w:rsid w:val="7481692F"/>
    <w:rsid w:val="749C73F1"/>
    <w:rsid w:val="74B40616"/>
    <w:rsid w:val="74C765FF"/>
    <w:rsid w:val="74E83FBB"/>
    <w:rsid w:val="75292618"/>
    <w:rsid w:val="757C0300"/>
    <w:rsid w:val="75B24F6A"/>
    <w:rsid w:val="75B914A5"/>
    <w:rsid w:val="75BC0266"/>
    <w:rsid w:val="760263EF"/>
    <w:rsid w:val="761F42ED"/>
    <w:rsid w:val="767056DB"/>
    <w:rsid w:val="767C4784"/>
    <w:rsid w:val="76D771CC"/>
    <w:rsid w:val="76F9786D"/>
    <w:rsid w:val="773F2AA6"/>
    <w:rsid w:val="7757234A"/>
    <w:rsid w:val="777C03C6"/>
    <w:rsid w:val="77835B03"/>
    <w:rsid w:val="779378AE"/>
    <w:rsid w:val="77EC4E2C"/>
    <w:rsid w:val="782007D8"/>
    <w:rsid w:val="78635CF0"/>
    <w:rsid w:val="7882554E"/>
    <w:rsid w:val="79062FCE"/>
    <w:rsid w:val="793E19BA"/>
    <w:rsid w:val="794C4351"/>
    <w:rsid w:val="795A6A93"/>
    <w:rsid w:val="79802666"/>
    <w:rsid w:val="79815DC6"/>
    <w:rsid w:val="79917052"/>
    <w:rsid w:val="7A3411F0"/>
    <w:rsid w:val="7A3E2912"/>
    <w:rsid w:val="7A6D6E7F"/>
    <w:rsid w:val="7AA23370"/>
    <w:rsid w:val="7B097852"/>
    <w:rsid w:val="7B4E6F27"/>
    <w:rsid w:val="7B537CC4"/>
    <w:rsid w:val="7B777C08"/>
    <w:rsid w:val="7C5F0387"/>
    <w:rsid w:val="7C69420A"/>
    <w:rsid w:val="7C7351F4"/>
    <w:rsid w:val="7C937B65"/>
    <w:rsid w:val="7CBA0C0A"/>
    <w:rsid w:val="7CF2567D"/>
    <w:rsid w:val="7D395889"/>
    <w:rsid w:val="7D4252F9"/>
    <w:rsid w:val="7D724195"/>
    <w:rsid w:val="7D881205"/>
    <w:rsid w:val="7D91691E"/>
    <w:rsid w:val="7D992786"/>
    <w:rsid w:val="7DFE7FB1"/>
    <w:rsid w:val="7E281B31"/>
    <w:rsid w:val="7E2B250D"/>
    <w:rsid w:val="7E670321"/>
    <w:rsid w:val="7E9A41D7"/>
    <w:rsid w:val="7EC2326E"/>
    <w:rsid w:val="7F1D4C67"/>
    <w:rsid w:val="7F3E5B02"/>
    <w:rsid w:val="7F49300E"/>
    <w:rsid w:val="7FAE3B33"/>
    <w:rsid w:val="7FBB6CB9"/>
    <w:rsid w:val="7FC13A5D"/>
    <w:rsid w:val="7FD33B58"/>
    <w:rsid w:val="7FF844C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nhideWhenUsed="0"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1" w:semiHidden="0" w:name="toc 1"/>
    <w:lsdException w:qFormat="1" w:unhideWhenUsed="0" w:uiPriority="1"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spacing w:before="0" w:after="0" w:line="240" w:lineRule="auto"/>
      <w:ind w:left="0" w:right="0"/>
      <w:jc w:val="left"/>
    </w:pPr>
    <w:rPr>
      <w:rFonts w:ascii="宋体" w:hAnsi="宋体" w:eastAsia="宋体" w:cs="宋体"/>
      <w:sz w:val="22"/>
      <w:szCs w:val="22"/>
      <w:lang w:val="zh-CN" w:eastAsia="zh-CN" w:bidi="zh-CN"/>
    </w:rPr>
  </w:style>
  <w:style w:type="paragraph" w:styleId="2">
    <w:name w:val="heading 1"/>
    <w:basedOn w:val="1"/>
    <w:next w:val="1"/>
    <w:link w:val="28"/>
    <w:qFormat/>
    <w:uiPriority w:val="1"/>
    <w:pPr>
      <w:ind w:left="220"/>
      <w:outlineLvl w:val="1"/>
    </w:pPr>
    <w:rPr>
      <w:rFonts w:ascii="微软雅黑" w:hAnsi="微软雅黑" w:eastAsia="微软雅黑" w:cs="微软雅黑"/>
      <w:b/>
      <w:bCs/>
      <w:sz w:val="32"/>
      <w:szCs w:val="32"/>
      <w:lang w:val="zh-CN" w:eastAsia="zh-CN" w:bidi="zh-CN"/>
    </w:rPr>
  </w:style>
  <w:style w:type="paragraph" w:styleId="3">
    <w:name w:val="heading 2"/>
    <w:basedOn w:val="1"/>
    <w:next w:val="1"/>
    <w:qFormat/>
    <w:uiPriority w:val="1"/>
    <w:pPr>
      <w:ind w:left="714"/>
      <w:outlineLvl w:val="2"/>
    </w:pPr>
    <w:rPr>
      <w:rFonts w:ascii="微软雅黑" w:hAnsi="微软雅黑" w:eastAsia="微软雅黑" w:cs="微软雅黑"/>
      <w:b/>
      <w:bCs/>
      <w:sz w:val="28"/>
      <w:szCs w:val="28"/>
      <w:lang w:val="zh-CN" w:eastAsia="zh-CN" w:bidi="zh-CN"/>
    </w:rPr>
  </w:style>
  <w:style w:type="paragraph" w:styleId="4">
    <w:name w:val="heading 3"/>
    <w:basedOn w:val="1"/>
    <w:next w:val="1"/>
    <w:qFormat/>
    <w:uiPriority w:val="0"/>
    <w:pPr>
      <w:keepNext/>
      <w:spacing w:before="240" w:after="60"/>
      <w:outlineLvl w:val="2"/>
    </w:pPr>
    <w:rPr>
      <w:rFonts w:ascii="Cambria" w:hAnsi="Cambria"/>
      <w:b/>
      <w:bCs/>
      <w:sz w:val="26"/>
      <w:szCs w:val="26"/>
    </w:rPr>
  </w:style>
  <w:style w:type="paragraph" w:styleId="5">
    <w:name w:val="heading 4"/>
    <w:basedOn w:val="1"/>
    <w:next w:val="1"/>
    <w:link w:val="21"/>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paragraph" w:styleId="6">
    <w:name w:val="heading 5"/>
    <w:basedOn w:val="1"/>
    <w:next w:val="1"/>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14">
    <w:name w:val="Default Paragraph Font"/>
    <w:semiHidden/>
    <w:unhideWhenUsed/>
    <w:qFormat/>
    <w:uiPriority w:val="1"/>
  </w:style>
  <w:style w:type="table" w:default="1" w:styleId="13">
    <w:name w:val="Normal Table"/>
    <w:semiHidden/>
    <w:qFormat/>
    <w:uiPriority w:val="0"/>
    <w:tblPr>
      <w:tblCellMar>
        <w:top w:w="0" w:type="dxa"/>
        <w:left w:w="108" w:type="dxa"/>
        <w:bottom w:w="0" w:type="dxa"/>
        <w:right w:w="108" w:type="dxa"/>
      </w:tblCellMar>
    </w:tblPr>
  </w:style>
  <w:style w:type="paragraph" w:styleId="7">
    <w:name w:val="Body Text"/>
    <w:basedOn w:val="1"/>
    <w:link w:val="22"/>
    <w:qFormat/>
    <w:uiPriority w:val="1"/>
    <w:rPr>
      <w:rFonts w:ascii="宋体" w:hAnsi="宋体" w:eastAsia="宋体" w:cs="宋体"/>
      <w:sz w:val="28"/>
      <w:szCs w:val="28"/>
      <w:lang w:val="zh-CN" w:eastAsia="zh-CN" w:bidi="zh-CN"/>
    </w:rPr>
  </w:style>
  <w:style w:type="paragraph" w:styleId="8">
    <w:name w:val="footer"/>
    <w:basedOn w:val="1"/>
    <w:qFormat/>
    <w:uiPriority w:val="0"/>
    <w:pPr>
      <w:tabs>
        <w:tab w:val="center" w:pos="4153"/>
        <w:tab w:val="right" w:pos="8306"/>
      </w:tabs>
      <w:snapToGrid w:val="0"/>
      <w:jc w:val="left"/>
    </w:pPr>
    <w:rPr>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toc 1"/>
    <w:basedOn w:val="1"/>
    <w:next w:val="1"/>
    <w:qFormat/>
    <w:uiPriority w:val="1"/>
    <w:pPr>
      <w:spacing w:before="265"/>
      <w:ind w:left="1550" w:right="492" w:hanging="1551"/>
      <w:jc w:val="right"/>
    </w:pPr>
    <w:rPr>
      <w:rFonts w:ascii="宋体" w:hAnsi="宋体" w:eastAsia="宋体" w:cs="宋体"/>
      <w:sz w:val="28"/>
      <w:szCs w:val="28"/>
      <w:lang w:val="zh-CN" w:eastAsia="zh-CN" w:bidi="zh-CN"/>
    </w:rPr>
  </w:style>
  <w:style w:type="paragraph" w:styleId="11">
    <w:name w:val="toc 2"/>
    <w:basedOn w:val="1"/>
    <w:next w:val="1"/>
    <w:qFormat/>
    <w:uiPriority w:val="1"/>
    <w:pPr>
      <w:spacing w:before="265"/>
      <w:ind w:left="1550" w:hanging="492"/>
    </w:pPr>
    <w:rPr>
      <w:rFonts w:ascii="宋体" w:hAnsi="宋体" w:eastAsia="宋体" w:cs="宋体"/>
      <w:sz w:val="28"/>
      <w:szCs w:val="28"/>
      <w:lang w:val="zh-CN" w:eastAsia="zh-CN" w:bidi="zh-CN"/>
    </w:rPr>
  </w:style>
  <w:style w:type="paragraph" w:styleId="12">
    <w:name w:val="Normal (Web)"/>
    <w:basedOn w:val="1"/>
    <w:qFormat/>
    <w:uiPriority w:val="0"/>
    <w:pPr>
      <w:spacing w:before="100" w:beforeAutospacing="1" w:after="100" w:afterAutospacing="1"/>
    </w:pPr>
    <w:rPr>
      <w:rFonts w:ascii="宋体" w:hAnsi="宋体" w:cs="宋体"/>
    </w:rPr>
  </w:style>
  <w:style w:type="character" w:styleId="15">
    <w:name w:val="Strong"/>
    <w:basedOn w:val="14"/>
    <w:qFormat/>
    <w:uiPriority w:val="0"/>
    <w:rPr>
      <w:b/>
    </w:rPr>
  </w:style>
  <w:style w:type="character" w:styleId="16">
    <w:name w:val="page number"/>
    <w:basedOn w:val="14"/>
    <w:qFormat/>
    <w:uiPriority w:val="0"/>
  </w:style>
  <w:style w:type="character" w:styleId="17">
    <w:name w:val="Hyperlink"/>
    <w:basedOn w:val="14"/>
    <w:qFormat/>
    <w:uiPriority w:val="0"/>
    <w:rPr>
      <w:color w:val="0000FF"/>
      <w:u w:val="single"/>
    </w:rPr>
  </w:style>
  <w:style w:type="table" w:customStyle="1" w:styleId="18">
    <w:name w:val="Table Normal"/>
    <w:semiHidden/>
    <w:unhideWhenUsed/>
    <w:qFormat/>
    <w:uiPriority w:val="2"/>
    <w:tblPr>
      <w:tblCellMar>
        <w:top w:w="0" w:type="dxa"/>
        <w:left w:w="0" w:type="dxa"/>
        <w:bottom w:w="0" w:type="dxa"/>
        <w:right w:w="0" w:type="dxa"/>
      </w:tblCellMar>
    </w:tblPr>
  </w:style>
  <w:style w:type="paragraph" w:styleId="19">
    <w:name w:val="List Paragraph"/>
    <w:basedOn w:val="1"/>
    <w:qFormat/>
    <w:uiPriority w:val="1"/>
    <w:pPr>
      <w:ind w:left="1550" w:hanging="421"/>
    </w:pPr>
    <w:rPr>
      <w:rFonts w:ascii="宋体" w:hAnsi="宋体" w:eastAsia="宋体" w:cs="宋体"/>
      <w:lang w:val="zh-CN" w:eastAsia="zh-CN" w:bidi="zh-CN"/>
    </w:rPr>
  </w:style>
  <w:style w:type="paragraph" w:customStyle="1" w:styleId="20">
    <w:name w:val="Table Paragraph"/>
    <w:basedOn w:val="1"/>
    <w:qFormat/>
    <w:uiPriority w:val="1"/>
    <w:rPr>
      <w:rFonts w:ascii="宋体" w:hAnsi="宋体" w:eastAsia="宋体" w:cs="宋体"/>
      <w:lang w:val="zh-CN" w:eastAsia="zh-CN" w:bidi="zh-CN"/>
    </w:rPr>
  </w:style>
  <w:style w:type="character" w:customStyle="1" w:styleId="21">
    <w:name w:val="标题 4 Char"/>
    <w:link w:val="5"/>
    <w:qFormat/>
    <w:uiPriority w:val="0"/>
    <w:rPr>
      <w:rFonts w:ascii="Arial" w:hAnsi="Arial" w:eastAsia="黑体"/>
      <w:b/>
      <w:sz w:val="28"/>
    </w:rPr>
  </w:style>
  <w:style w:type="character" w:customStyle="1" w:styleId="22">
    <w:name w:val="正文文本 Char"/>
    <w:link w:val="7"/>
    <w:qFormat/>
    <w:uiPriority w:val="1"/>
    <w:rPr>
      <w:rFonts w:ascii="宋体" w:hAnsi="宋体" w:eastAsia="宋体" w:cs="宋体"/>
      <w:sz w:val="28"/>
      <w:szCs w:val="28"/>
      <w:lang w:val="zh-CN" w:eastAsia="zh-CN" w:bidi="zh-CN"/>
    </w:rPr>
  </w:style>
  <w:style w:type="paragraph" w:customStyle="1" w:styleId="23">
    <w:name w:val="WPSOffice手动目录 1"/>
    <w:qFormat/>
    <w:uiPriority w:val="0"/>
    <w:pPr>
      <w:ind w:leftChars="0"/>
    </w:pPr>
    <w:rPr>
      <w:rFonts w:ascii="Times New Roman" w:hAnsi="Times New Roman" w:eastAsia="宋体" w:cs="Times New Roman"/>
      <w:sz w:val="20"/>
      <w:szCs w:val="20"/>
    </w:rPr>
  </w:style>
  <w:style w:type="paragraph" w:customStyle="1" w:styleId="24">
    <w:name w:val="标题2"/>
    <w:basedOn w:val="3"/>
    <w:next w:val="1"/>
    <w:qFormat/>
    <w:uiPriority w:val="0"/>
  </w:style>
  <w:style w:type="paragraph" w:customStyle="1" w:styleId="25">
    <w:name w:val="标题1"/>
    <w:basedOn w:val="2"/>
    <w:next w:val="1"/>
    <w:qFormat/>
    <w:uiPriority w:val="0"/>
  </w:style>
  <w:style w:type="paragraph" w:customStyle="1" w:styleId="26">
    <w:name w:val="标题3"/>
    <w:basedOn w:val="4"/>
    <w:next w:val="1"/>
    <w:qFormat/>
    <w:uiPriority w:val="0"/>
    <w:pPr>
      <w:spacing w:line="480" w:lineRule="exact"/>
    </w:pPr>
    <w:rPr>
      <w:rFonts w:eastAsia="仿宋_GB2312"/>
    </w:rPr>
  </w:style>
  <w:style w:type="paragraph" w:customStyle="1" w:styleId="27">
    <w:name w:val="标题4"/>
    <w:basedOn w:val="5"/>
    <w:qFormat/>
    <w:uiPriority w:val="0"/>
    <w:rPr>
      <w:rFonts w:ascii="宋体" w:hAnsi="宋体"/>
    </w:rPr>
  </w:style>
  <w:style w:type="character" w:customStyle="1" w:styleId="28">
    <w:name w:val="标题 1 Char"/>
    <w:link w:val="2"/>
    <w:qFormat/>
    <w:uiPriority w:val="1"/>
    <w:rPr>
      <w:rFonts w:ascii="微软雅黑" w:hAnsi="微软雅黑" w:eastAsia="微软雅黑" w:cs="微软雅黑"/>
      <w:b/>
      <w:bCs/>
      <w:sz w:val="32"/>
      <w:szCs w:val="32"/>
      <w:lang w:val="zh-CN" w:eastAsia="zh-CN" w:bidi="zh-CN"/>
    </w:rPr>
  </w:style>
  <w:style w:type="paragraph" w:customStyle="1" w:styleId="29">
    <w:name w:val="WPSOffice手动目录 2"/>
    <w:qFormat/>
    <w:uiPriority w:val="0"/>
    <w:pPr>
      <w:ind w:leftChars="2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2050" textRotate="1"/>
    <customShpInfo spid="_x0000_s2051" textRotate="1"/>
    <customShpInfo spid="_x0000_s2054"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ScaleCrop>false</ScaleCrop>
  <LinksUpToDate>false</LinksUpToDate>
  <Application>WPS Office_11.1.0.9513_F1E327BC-269C-435d-A152-05C5408002CA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2019-06-21T03:06:00Z</dcterms:created>
  <dc:creator>Administrator</dc:creator>
  <cp:lastModifiedBy>٩(•̮̮̃•̃)۶</cp:lastModifiedBy>
  <cp:lastPrinted>2020-04-16T07:27:00Z</cp:lastPrinted>
  <dcterms:modified xsi:type="dcterms:W3CDTF">2020-04-17T07:01:35Z</dcterms:modified>
  <dc:title>&lt;4D6963726F736F667420576F7264202D20C7E5B3FDD7F7D2B5D0DEB8C4B8E52E646F63&gt;</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2011-12-21T00:00:00Z</vt:filetime>
  </property>
  <property fmtid="{D5CDD505-2E9C-101B-9397-08002B2CF9AE}" pid="3" name="Creator">
    <vt:lpwstr>PScript5.dll Version 5.2.2</vt:lpwstr>
  </property>
  <property fmtid="{D5CDD505-2E9C-101B-9397-08002B2CF9AE}" pid="4" name="LastSaved">
    <vt:filetime>2019-06-21T00:00:00Z</vt:filetime>
  </property>
  <property fmtid="{D5CDD505-2E9C-101B-9397-08002B2CF9AE}" pid="5" name="KSOProductBuildVer">
    <vt:lpwstr>2052-11.1.0.9513</vt:lpwstr>
  </property>
</Properties>
</file>